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D3EE" w14:textId="77777777" w:rsidR="00FF26AD" w:rsidRPr="00870D40" w:rsidRDefault="00FF26AD" w:rsidP="00687BFD">
      <w:pPr>
        <w:rPr>
          <w:rFonts w:ascii="Century Gothic" w:hAnsi="Century Gothic"/>
          <w:b/>
        </w:rPr>
      </w:pPr>
    </w:p>
    <w:p w14:paraId="75B53915" w14:textId="77777777" w:rsidR="00FF26AD" w:rsidRPr="00870D40" w:rsidRDefault="00FF26AD" w:rsidP="00687BFD">
      <w:pPr>
        <w:rPr>
          <w:rFonts w:ascii="Century Gothic" w:hAnsi="Century Gothic"/>
          <w:b/>
        </w:rPr>
      </w:pPr>
    </w:p>
    <w:p w14:paraId="445BE2EC" w14:textId="77777777" w:rsidR="00FF26AD" w:rsidRPr="00870D40" w:rsidRDefault="00FF26AD" w:rsidP="00687BFD">
      <w:pPr>
        <w:rPr>
          <w:rFonts w:ascii="Century Gothic" w:hAnsi="Century Gothic"/>
          <w:b/>
        </w:rPr>
      </w:pPr>
    </w:p>
    <w:p w14:paraId="141D6129" w14:textId="77777777" w:rsidR="00FF26AD" w:rsidRPr="00870D40" w:rsidRDefault="00FF26AD" w:rsidP="00687BFD">
      <w:pPr>
        <w:rPr>
          <w:rFonts w:ascii="Century Gothic" w:hAnsi="Century Gothic"/>
          <w:b/>
        </w:rPr>
      </w:pPr>
    </w:p>
    <w:p w14:paraId="46252B2D" w14:textId="77777777" w:rsidR="00FF26AD" w:rsidRPr="00870D40" w:rsidRDefault="00FF26AD" w:rsidP="00687BFD">
      <w:pPr>
        <w:rPr>
          <w:rFonts w:ascii="Century Gothic" w:hAnsi="Century Gothic"/>
          <w:b/>
        </w:rPr>
      </w:pPr>
    </w:p>
    <w:p w14:paraId="2B6A322B" w14:textId="3EF8F6B8" w:rsidR="00FF26AD" w:rsidRDefault="006560C7" w:rsidP="00FF3ABB">
      <w:pPr>
        <w:jc w:val="center"/>
        <w:rPr>
          <w:b/>
          <w:color w:val="auto"/>
          <w:sz w:val="40"/>
        </w:rPr>
      </w:pPr>
      <w:r w:rsidRPr="005F15DD">
        <w:rPr>
          <w:b/>
          <w:color w:val="auto"/>
          <w:sz w:val="40"/>
        </w:rPr>
        <w:t>POLÍTICA DE INVESTIMENTOS</w:t>
      </w:r>
      <w:r w:rsidR="00CB3977" w:rsidRPr="005F15DD">
        <w:rPr>
          <w:b/>
          <w:color w:val="auto"/>
          <w:sz w:val="40"/>
        </w:rPr>
        <w:t xml:space="preserve"> 20</w:t>
      </w:r>
      <w:r w:rsidR="00F84BE0" w:rsidRPr="005F15DD">
        <w:rPr>
          <w:b/>
          <w:color w:val="auto"/>
          <w:sz w:val="40"/>
        </w:rPr>
        <w:t>2</w:t>
      </w:r>
      <w:r w:rsidR="007A1214" w:rsidRPr="005F15DD">
        <w:rPr>
          <w:b/>
          <w:color w:val="auto"/>
          <w:sz w:val="40"/>
        </w:rPr>
        <w:t>2</w:t>
      </w:r>
    </w:p>
    <w:p w14:paraId="0887BEF1" w14:textId="2A6F97E1" w:rsidR="005F15DD" w:rsidRDefault="005F15DD" w:rsidP="00FF3ABB">
      <w:pPr>
        <w:jc w:val="center"/>
        <w:rPr>
          <w:b/>
          <w:color w:val="auto"/>
          <w:sz w:val="40"/>
        </w:rPr>
      </w:pPr>
      <w:r>
        <w:rPr>
          <w:b/>
          <w:color w:val="auto"/>
          <w:sz w:val="40"/>
        </w:rPr>
        <w:t>INSTITUTO DE PREVID</w:t>
      </w:r>
      <w:r w:rsidR="004569F7">
        <w:rPr>
          <w:b/>
          <w:color w:val="auto"/>
          <w:sz w:val="40"/>
        </w:rPr>
        <w:t>Ê</w:t>
      </w:r>
      <w:r>
        <w:rPr>
          <w:b/>
          <w:color w:val="auto"/>
          <w:sz w:val="40"/>
        </w:rPr>
        <w:t>NCIA DOS</w:t>
      </w:r>
    </w:p>
    <w:p w14:paraId="5AB4E6FC" w14:textId="4F87D58E" w:rsidR="005F15DD" w:rsidRDefault="005F15DD" w:rsidP="00FF3ABB">
      <w:pPr>
        <w:jc w:val="center"/>
        <w:rPr>
          <w:b/>
          <w:color w:val="auto"/>
          <w:sz w:val="40"/>
        </w:rPr>
      </w:pPr>
      <w:r>
        <w:rPr>
          <w:b/>
          <w:color w:val="auto"/>
          <w:sz w:val="40"/>
        </w:rPr>
        <w:t xml:space="preserve">SERVIDORES PÚBLICOS DO MUNICÍPIO DE </w:t>
      </w:r>
    </w:p>
    <w:p w14:paraId="00AEDE03" w14:textId="2FABE611" w:rsidR="005F15DD" w:rsidRDefault="005F15DD" w:rsidP="00FF3ABB">
      <w:pPr>
        <w:jc w:val="center"/>
        <w:rPr>
          <w:b/>
          <w:color w:val="auto"/>
          <w:sz w:val="40"/>
        </w:rPr>
      </w:pPr>
      <w:r>
        <w:rPr>
          <w:b/>
          <w:color w:val="auto"/>
          <w:sz w:val="40"/>
        </w:rPr>
        <w:t>PITANGUEIRAS SP</w:t>
      </w:r>
    </w:p>
    <w:p w14:paraId="291898D5" w14:textId="70A5E6FA" w:rsidR="005F15DD" w:rsidRPr="005F15DD" w:rsidRDefault="005F15DD" w:rsidP="00FF3ABB">
      <w:pPr>
        <w:jc w:val="center"/>
        <w:rPr>
          <w:b/>
          <w:color w:val="auto"/>
          <w:sz w:val="40"/>
          <w:u w:val="words"/>
        </w:rPr>
      </w:pPr>
      <w:r w:rsidRPr="005F15DD">
        <w:rPr>
          <w:b/>
          <w:color w:val="auto"/>
          <w:sz w:val="40"/>
          <w:u w:val="words"/>
        </w:rPr>
        <w:t>P I T A N P R E V</w:t>
      </w:r>
    </w:p>
    <w:p w14:paraId="24136FD8" w14:textId="0C4964A4" w:rsidR="00FF26AD" w:rsidRDefault="00FF26AD" w:rsidP="00FF3ABB">
      <w:pPr>
        <w:jc w:val="center"/>
        <w:rPr>
          <w:color w:val="ED7D31"/>
        </w:rPr>
      </w:pPr>
    </w:p>
    <w:p w14:paraId="13AD50E9" w14:textId="77777777" w:rsidR="00F84BE0" w:rsidRDefault="00F84BE0" w:rsidP="00F84BE0"/>
    <w:p w14:paraId="7B05AA5F" w14:textId="77777777" w:rsidR="00F84BE0" w:rsidRDefault="00F84BE0" w:rsidP="00F84BE0"/>
    <w:p w14:paraId="7FF73010" w14:textId="77777777" w:rsidR="00F84BE0" w:rsidRDefault="00F84BE0" w:rsidP="00F84BE0"/>
    <w:p w14:paraId="48FBDE8E" w14:textId="77777777" w:rsidR="00F84BE0" w:rsidRDefault="00F84BE0" w:rsidP="00F84BE0"/>
    <w:p w14:paraId="0195DA76" w14:textId="77777777" w:rsidR="00F84BE0" w:rsidRDefault="00F84BE0" w:rsidP="00F84BE0"/>
    <w:p w14:paraId="6CEA916B" w14:textId="77777777" w:rsidR="00F84BE0" w:rsidRDefault="00F84BE0" w:rsidP="00F84BE0"/>
    <w:p w14:paraId="7DD9AAAF" w14:textId="77777777" w:rsidR="00F84BE0" w:rsidRDefault="00F84BE0" w:rsidP="00F84BE0"/>
    <w:p w14:paraId="2275E7D9" w14:textId="77777777" w:rsidR="00F84BE0" w:rsidRDefault="00F84BE0" w:rsidP="00F84BE0"/>
    <w:p w14:paraId="5F807536" w14:textId="52D4C93E" w:rsidR="00F84BE0" w:rsidRDefault="00F84BE0" w:rsidP="00F84BE0"/>
    <w:p w14:paraId="3C87F114" w14:textId="77777777" w:rsidR="0024734E" w:rsidRDefault="0024734E" w:rsidP="00F84BE0"/>
    <w:p w14:paraId="32843E48" w14:textId="6BDC96A2" w:rsidR="00EB57E9" w:rsidRDefault="00EB57E9" w:rsidP="00F84BE0"/>
    <w:p w14:paraId="088BB0FA" w14:textId="72111E7D" w:rsidR="0028014E" w:rsidRDefault="0028014E" w:rsidP="00F84BE0"/>
    <w:p w14:paraId="15CBA00B" w14:textId="77777777" w:rsidR="0028014E" w:rsidRDefault="0028014E" w:rsidP="00F84BE0"/>
    <w:tbl>
      <w:tblPr>
        <w:tblStyle w:val="Tabelacomgrade"/>
        <w:tblW w:w="5000" w:type="pct"/>
        <w:tblBorders>
          <w:top w:val="dotted" w:sz="2" w:space="0" w:color="7F7F7F" w:themeColor="text1" w:themeTint="80"/>
          <w:left w:val="dotted" w:sz="2" w:space="0" w:color="7F7F7F" w:themeColor="text1" w:themeTint="80"/>
          <w:bottom w:val="dotted" w:sz="2" w:space="0" w:color="7F7F7F" w:themeColor="text1" w:themeTint="80"/>
          <w:right w:val="dotted" w:sz="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4532"/>
        <w:gridCol w:w="2263"/>
        <w:gridCol w:w="1086"/>
        <w:gridCol w:w="1184"/>
      </w:tblGrid>
      <w:tr w:rsidR="007667F7" w:rsidRPr="000B42E0" w14:paraId="7E258BEF" w14:textId="77777777" w:rsidTr="00227CDB">
        <w:trPr>
          <w:trHeight w:val="20"/>
        </w:trPr>
        <w:tc>
          <w:tcPr>
            <w:tcW w:w="3748" w:type="pct"/>
            <w:gridSpan w:val="2"/>
            <w:vAlign w:val="center"/>
          </w:tcPr>
          <w:p w14:paraId="7C8E7778" w14:textId="1CB06BCB" w:rsidR="007667F7" w:rsidRPr="004569F7" w:rsidRDefault="007667F7" w:rsidP="00227CDB">
            <w:pPr>
              <w:pStyle w:val="Rodap"/>
              <w:jc w:val="center"/>
              <w:rPr>
                <w:b/>
                <w:color w:val="auto"/>
                <w:sz w:val="16"/>
                <w:szCs w:val="16"/>
              </w:rPr>
            </w:pPr>
            <w:r w:rsidRPr="004569F7">
              <w:rPr>
                <w:b/>
                <w:color w:val="auto"/>
                <w:szCs w:val="16"/>
              </w:rPr>
              <w:t>Política de Investimentos</w:t>
            </w:r>
          </w:p>
        </w:tc>
        <w:tc>
          <w:tcPr>
            <w:tcW w:w="599" w:type="pct"/>
          </w:tcPr>
          <w:p w14:paraId="008A23C5" w14:textId="77777777" w:rsidR="007667F7" w:rsidRPr="004569F7" w:rsidRDefault="007667F7" w:rsidP="00227CDB">
            <w:pPr>
              <w:pStyle w:val="Rodap"/>
              <w:jc w:val="center"/>
              <w:rPr>
                <w:b/>
                <w:color w:val="auto"/>
                <w:sz w:val="16"/>
                <w:szCs w:val="16"/>
              </w:rPr>
            </w:pPr>
            <w:r w:rsidRPr="004569F7">
              <w:rPr>
                <w:b/>
                <w:color w:val="auto"/>
                <w:sz w:val="16"/>
                <w:szCs w:val="16"/>
              </w:rPr>
              <w:t>VERSÃO</w:t>
            </w:r>
          </w:p>
          <w:p w14:paraId="4E8AE2B4" w14:textId="0510F5F2" w:rsidR="007667F7" w:rsidRPr="004569F7" w:rsidRDefault="007667F7" w:rsidP="00227CDB">
            <w:pPr>
              <w:pStyle w:val="Rodap"/>
              <w:jc w:val="center"/>
              <w:rPr>
                <w:color w:val="auto"/>
                <w:sz w:val="16"/>
                <w:szCs w:val="16"/>
              </w:rPr>
            </w:pPr>
            <w:r w:rsidRPr="004569F7">
              <w:rPr>
                <w:color w:val="auto"/>
                <w:sz w:val="16"/>
                <w:szCs w:val="16"/>
              </w:rPr>
              <w:t>1</w:t>
            </w:r>
          </w:p>
        </w:tc>
        <w:tc>
          <w:tcPr>
            <w:tcW w:w="653" w:type="pct"/>
          </w:tcPr>
          <w:p w14:paraId="4127FEB0" w14:textId="7D2F29A2" w:rsidR="007667F7" w:rsidRPr="004569F7" w:rsidRDefault="007667F7" w:rsidP="00227CDB">
            <w:pPr>
              <w:pStyle w:val="Rodap"/>
              <w:jc w:val="center"/>
              <w:rPr>
                <w:b/>
                <w:color w:val="auto"/>
                <w:sz w:val="16"/>
                <w:szCs w:val="16"/>
              </w:rPr>
            </w:pPr>
            <w:r w:rsidRPr="004569F7">
              <w:rPr>
                <w:b/>
                <w:color w:val="auto"/>
                <w:sz w:val="16"/>
                <w:szCs w:val="16"/>
              </w:rPr>
              <w:t>APROVADO</w:t>
            </w:r>
          </w:p>
          <w:p w14:paraId="36628F70" w14:textId="3E2BBFE9" w:rsidR="007667F7" w:rsidRPr="004569F7" w:rsidRDefault="005F15DD" w:rsidP="00227CDB">
            <w:pPr>
              <w:pStyle w:val="Rodap"/>
              <w:jc w:val="center"/>
              <w:rPr>
                <w:color w:val="auto"/>
                <w:sz w:val="16"/>
                <w:szCs w:val="16"/>
              </w:rPr>
            </w:pPr>
            <w:r w:rsidRPr="004569F7">
              <w:rPr>
                <w:color w:val="auto"/>
                <w:sz w:val="16"/>
                <w:szCs w:val="16"/>
              </w:rPr>
              <w:t>27/12/2021</w:t>
            </w:r>
          </w:p>
        </w:tc>
      </w:tr>
      <w:tr w:rsidR="007667F7" w:rsidRPr="000B42E0" w14:paraId="15DD4507" w14:textId="77777777" w:rsidTr="00227CDB">
        <w:trPr>
          <w:trHeight w:val="20"/>
        </w:trPr>
        <w:tc>
          <w:tcPr>
            <w:tcW w:w="2500" w:type="pct"/>
            <w:vAlign w:val="center"/>
          </w:tcPr>
          <w:p w14:paraId="01763E46" w14:textId="17B4AB93" w:rsidR="007667F7" w:rsidRPr="004569F7" w:rsidRDefault="007667F7" w:rsidP="00227CDB">
            <w:pPr>
              <w:pStyle w:val="Rodap"/>
              <w:jc w:val="center"/>
              <w:rPr>
                <w:i/>
                <w:color w:val="auto"/>
                <w:sz w:val="16"/>
                <w:szCs w:val="16"/>
              </w:rPr>
            </w:pPr>
            <w:r w:rsidRPr="004569F7">
              <w:rPr>
                <w:b/>
                <w:color w:val="auto"/>
                <w:sz w:val="16"/>
                <w:szCs w:val="16"/>
              </w:rPr>
              <w:t>Elaboração:</w:t>
            </w:r>
            <w:r w:rsidRPr="004569F7">
              <w:rPr>
                <w:color w:val="auto"/>
                <w:sz w:val="16"/>
                <w:szCs w:val="16"/>
              </w:rPr>
              <w:t xml:space="preserve"> Comitê de Investimentos</w:t>
            </w:r>
          </w:p>
        </w:tc>
        <w:tc>
          <w:tcPr>
            <w:tcW w:w="2500" w:type="pct"/>
            <w:gridSpan w:val="3"/>
            <w:vAlign w:val="center"/>
          </w:tcPr>
          <w:p w14:paraId="303FAD04" w14:textId="1FCB5EDA" w:rsidR="007667F7" w:rsidRPr="004569F7" w:rsidRDefault="007667F7" w:rsidP="00227CDB">
            <w:pPr>
              <w:pStyle w:val="Rodap"/>
              <w:jc w:val="center"/>
              <w:rPr>
                <w:color w:val="auto"/>
                <w:sz w:val="16"/>
                <w:szCs w:val="16"/>
              </w:rPr>
            </w:pPr>
            <w:r w:rsidRPr="004569F7">
              <w:rPr>
                <w:b/>
                <w:color w:val="auto"/>
                <w:sz w:val="16"/>
                <w:szCs w:val="16"/>
              </w:rPr>
              <w:t>Aprovação:</w:t>
            </w:r>
            <w:r w:rsidRPr="004569F7">
              <w:rPr>
                <w:color w:val="auto"/>
                <w:sz w:val="16"/>
                <w:szCs w:val="16"/>
              </w:rPr>
              <w:t xml:space="preserve"> Conselho Deliberativo</w:t>
            </w:r>
          </w:p>
        </w:tc>
      </w:tr>
    </w:tbl>
    <w:p w14:paraId="18B66B3E" w14:textId="77777777" w:rsidR="00D81DF8" w:rsidRPr="00516AB2" w:rsidRDefault="00D81DF8" w:rsidP="00F84BE0">
      <w:r w:rsidRPr="00516AB2">
        <w:br w:type="page"/>
      </w:r>
    </w:p>
    <w:sdt>
      <w:sdtPr>
        <w:rPr>
          <w:bCs/>
          <w:sz w:val="24"/>
        </w:rPr>
        <w:id w:val="1261562148"/>
        <w:docPartObj>
          <w:docPartGallery w:val="Table of Contents"/>
          <w:docPartUnique/>
        </w:docPartObj>
      </w:sdtPr>
      <w:sdtEndPr>
        <w:rPr>
          <w:b/>
          <w:sz w:val="12"/>
          <w:szCs w:val="16"/>
        </w:rPr>
      </w:sdtEndPr>
      <w:sdtContent>
        <w:p w14:paraId="293CDEB9" w14:textId="77777777" w:rsidR="00CC3E23" w:rsidRPr="00F23794" w:rsidRDefault="00CC3E23" w:rsidP="007B1153">
          <w:pPr>
            <w:jc w:val="center"/>
            <w:rPr>
              <w:b/>
              <w:color w:val="ED7D31" w:themeColor="accent2"/>
              <w:sz w:val="24"/>
            </w:rPr>
          </w:pPr>
          <w:r w:rsidRPr="00F23794">
            <w:rPr>
              <w:b/>
              <w:color w:val="ED7D31" w:themeColor="accent2"/>
              <w:sz w:val="24"/>
            </w:rPr>
            <w:t>SUMÁRIO</w:t>
          </w:r>
        </w:p>
        <w:p w14:paraId="5C285CDA" w14:textId="6C7F07E2" w:rsidR="00293458" w:rsidRDefault="00CC3E23">
          <w:pPr>
            <w:pStyle w:val="Sumrio1"/>
            <w:tabs>
              <w:tab w:val="left" w:pos="400"/>
              <w:tab w:val="right" w:leader="dot" w:pos="9061"/>
            </w:tabs>
            <w:rPr>
              <w:rFonts w:asciiTheme="minorHAnsi" w:eastAsiaTheme="minorEastAsia" w:hAnsiTheme="minorHAnsi"/>
              <w:noProof/>
              <w:color w:val="auto"/>
              <w:lang w:eastAsia="pt-BR"/>
            </w:rPr>
          </w:pPr>
          <w:r w:rsidRPr="005B5E5B">
            <w:rPr>
              <w:bCs/>
              <w:sz w:val="8"/>
              <w:szCs w:val="16"/>
            </w:rPr>
            <w:fldChar w:fldCharType="begin"/>
          </w:r>
          <w:r w:rsidRPr="005B5E5B">
            <w:rPr>
              <w:bCs/>
              <w:sz w:val="8"/>
              <w:szCs w:val="16"/>
            </w:rPr>
            <w:instrText xml:space="preserve"> TOC \o "1-3" \h \z \u </w:instrText>
          </w:r>
          <w:r w:rsidRPr="005B5E5B">
            <w:rPr>
              <w:bCs/>
              <w:sz w:val="8"/>
              <w:szCs w:val="16"/>
            </w:rPr>
            <w:fldChar w:fldCharType="separate"/>
          </w:r>
          <w:hyperlink w:anchor="_Toc90997469" w:history="1">
            <w:r w:rsidR="00293458" w:rsidRPr="002B400F">
              <w:rPr>
                <w:rStyle w:val="Hyperlink"/>
                <w:noProof/>
              </w:rPr>
              <w:t>1</w:t>
            </w:r>
            <w:r w:rsidR="00293458">
              <w:rPr>
                <w:rFonts w:asciiTheme="minorHAnsi" w:eastAsiaTheme="minorEastAsia" w:hAnsiTheme="minorHAnsi"/>
                <w:noProof/>
                <w:color w:val="auto"/>
                <w:lang w:eastAsia="pt-BR"/>
              </w:rPr>
              <w:tab/>
            </w:r>
            <w:r w:rsidR="00293458" w:rsidRPr="002B400F">
              <w:rPr>
                <w:rStyle w:val="Hyperlink"/>
                <w:noProof/>
              </w:rPr>
              <w:t>INTRODUÇÃO</w:t>
            </w:r>
            <w:r w:rsidR="00293458">
              <w:rPr>
                <w:noProof/>
                <w:webHidden/>
              </w:rPr>
              <w:tab/>
            </w:r>
            <w:r w:rsidR="00293458">
              <w:rPr>
                <w:noProof/>
                <w:webHidden/>
              </w:rPr>
              <w:fldChar w:fldCharType="begin"/>
            </w:r>
            <w:r w:rsidR="00293458">
              <w:rPr>
                <w:noProof/>
                <w:webHidden/>
              </w:rPr>
              <w:instrText xml:space="preserve"> PAGEREF _Toc90997469 \h </w:instrText>
            </w:r>
            <w:r w:rsidR="00293458">
              <w:rPr>
                <w:noProof/>
                <w:webHidden/>
              </w:rPr>
            </w:r>
            <w:r w:rsidR="00293458">
              <w:rPr>
                <w:noProof/>
                <w:webHidden/>
              </w:rPr>
              <w:fldChar w:fldCharType="separate"/>
            </w:r>
            <w:r w:rsidR="009260E0">
              <w:rPr>
                <w:noProof/>
                <w:webHidden/>
              </w:rPr>
              <w:t>4</w:t>
            </w:r>
            <w:r w:rsidR="00293458">
              <w:rPr>
                <w:noProof/>
                <w:webHidden/>
              </w:rPr>
              <w:fldChar w:fldCharType="end"/>
            </w:r>
          </w:hyperlink>
        </w:p>
        <w:p w14:paraId="137EFD07" w14:textId="44BB8B29"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0" w:history="1">
            <w:r w:rsidR="00293458" w:rsidRPr="002B400F">
              <w:rPr>
                <w:rStyle w:val="Hyperlink"/>
                <w:noProof/>
              </w:rPr>
              <w:t>2</w:t>
            </w:r>
            <w:r w:rsidR="00293458">
              <w:rPr>
                <w:rFonts w:asciiTheme="minorHAnsi" w:eastAsiaTheme="minorEastAsia" w:hAnsiTheme="minorHAnsi"/>
                <w:noProof/>
                <w:color w:val="auto"/>
                <w:lang w:eastAsia="pt-BR"/>
              </w:rPr>
              <w:tab/>
            </w:r>
            <w:r w:rsidR="00293458" w:rsidRPr="002B400F">
              <w:rPr>
                <w:rStyle w:val="Hyperlink"/>
                <w:noProof/>
              </w:rPr>
              <w:t>OBJETIVO</w:t>
            </w:r>
            <w:r w:rsidR="00293458">
              <w:rPr>
                <w:noProof/>
                <w:webHidden/>
              </w:rPr>
              <w:tab/>
            </w:r>
            <w:r w:rsidR="00293458">
              <w:rPr>
                <w:noProof/>
                <w:webHidden/>
              </w:rPr>
              <w:fldChar w:fldCharType="begin"/>
            </w:r>
            <w:r w:rsidR="00293458">
              <w:rPr>
                <w:noProof/>
                <w:webHidden/>
              </w:rPr>
              <w:instrText xml:space="preserve"> PAGEREF _Toc90997470 \h </w:instrText>
            </w:r>
            <w:r w:rsidR="00293458">
              <w:rPr>
                <w:noProof/>
                <w:webHidden/>
              </w:rPr>
            </w:r>
            <w:r w:rsidR="00293458">
              <w:rPr>
                <w:noProof/>
                <w:webHidden/>
              </w:rPr>
              <w:fldChar w:fldCharType="separate"/>
            </w:r>
            <w:r w:rsidR="009260E0">
              <w:rPr>
                <w:noProof/>
                <w:webHidden/>
              </w:rPr>
              <w:t>4</w:t>
            </w:r>
            <w:r w:rsidR="00293458">
              <w:rPr>
                <w:noProof/>
                <w:webHidden/>
              </w:rPr>
              <w:fldChar w:fldCharType="end"/>
            </w:r>
          </w:hyperlink>
        </w:p>
        <w:p w14:paraId="09BDA341" w14:textId="0B692FFD"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1" w:history="1">
            <w:r w:rsidR="00293458" w:rsidRPr="002B400F">
              <w:rPr>
                <w:rStyle w:val="Hyperlink"/>
                <w:noProof/>
              </w:rPr>
              <w:t>3</w:t>
            </w:r>
            <w:r w:rsidR="00293458">
              <w:rPr>
                <w:rFonts w:asciiTheme="minorHAnsi" w:eastAsiaTheme="minorEastAsia" w:hAnsiTheme="minorHAnsi"/>
                <w:noProof/>
                <w:color w:val="auto"/>
                <w:lang w:eastAsia="pt-BR"/>
              </w:rPr>
              <w:tab/>
            </w:r>
            <w:r w:rsidR="00293458" w:rsidRPr="002B400F">
              <w:rPr>
                <w:rStyle w:val="Hyperlink"/>
                <w:noProof/>
              </w:rPr>
              <w:t>PERFIL DE INVESTIDOR</w:t>
            </w:r>
            <w:r w:rsidR="00293458">
              <w:rPr>
                <w:noProof/>
                <w:webHidden/>
              </w:rPr>
              <w:tab/>
            </w:r>
            <w:r w:rsidR="00293458">
              <w:rPr>
                <w:noProof/>
                <w:webHidden/>
              </w:rPr>
              <w:fldChar w:fldCharType="begin"/>
            </w:r>
            <w:r w:rsidR="00293458">
              <w:rPr>
                <w:noProof/>
                <w:webHidden/>
              </w:rPr>
              <w:instrText xml:space="preserve"> PAGEREF _Toc90997471 \h </w:instrText>
            </w:r>
            <w:r w:rsidR="00293458">
              <w:rPr>
                <w:noProof/>
                <w:webHidden/>
              </w:rPr>
            </w:r>
            <w:r w:rsidR="00293458">
              <w:rPr>
                <w:noProof/>
                <w:webHidden/>
              </w:rPr>
              <w:fldChar w:fldCharType="separate"/>
            </w:r>
            <w:r w:rsidR="009260E0">
              <w:rPr>
                <w:noProof/>
                <w:webHidden/>
              </w:rPr>
              <w:t>4</w:t>
            </w:r>
            <w:r w:rsidR="00293458">
              <w:rPr>
                <w:noProof/>
                <w:webHidden/>
              </w:rPr>
              <w:fldChar w:fldCharType="end"/>
            </w:r>
          </w:hyperlink>
        </w:p>
        <w:p w14:paraId="4B2CA072" w14:textId="062E00A0"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2" w:history="1">
            <w:r w:rsidR="00293458" w:rsidRPr="002B400F">
              <w:rPr>
                <w:rStyle w:val="Hyperlink"/>
                <w:noProof/>
              </w:rPr>
              <w:t>4</w:t>
            </w:r>
            <w:r w:rsidR="00293458">
              <w:rPr>
                <w:rFonts w:asciiTheme="minorHAnsi" w:eastAsiaTheme="minorEastAsia" w:hAnsiTheme="minorHAnsi"/>
                <w:noProof/>
                <w:color w:val="auto"/>
                <w:lang w:eastAsia="pt-BR"/>
              </w:rPr>
              <w:tab/>
            </w:r>
            <w:r w:rsidR="00293458" w:rsidRPr="002B400F">
              <w:rPr>
                <w:rStyle w:val="Hyperlink"/>
                <w:noProof/>
              </w:rPr>
              <w:t>ESTRUTURA DE GESTÃO</w:t>
            </w:r>
            <w:r w:rsidR="00293458">
              <w:rPr>
                <w:noProof/>
                <w:webHidden/>
              </w:rPr>
              <w:tab/>
            </w:r>
            <w:r w:rsidR="00293458">
              <w:rPr>
                <w:noProof/>
                <w:webHidden/>
              </w:rPr>
              <w:fldChar w:fldCharType="begin"/>
            </w:r>
            <w:r w:rsidR="00293458">
              <w:rPr>
                <w:noProof/>
                <w:webHidden/>
              </w:rPr>
              <w:instrText xml:space="preserve"> PAGEREF _Toc90997472 \h </w:instrText>
            </w:r>
            <w:r w:rsidR="00293458">
              <w:rPr>
                <w:noProof/>
                <w:webHidden/>
              </w:rPr>
            </w:r>
            <w:r w:rsidR="00293458">
              <w:rPr>
                <w:noProof/>
                <w:webHidden/>
              </w:rPr>
              <w:fldChar w:fldCharType="separate"/>
            </w:r>
            <w:r w:rsidR="009260E0">
              <w:rPr>
                <w:noProof/>
                <w:webHidden/>
              </w:rPr>
              <w:t>5</w:t>
            </w:r>
            <w:r w:rsidR="00293458">
              <w:rPr>
                <w:noProof/>
                <w:webHidden/>
              </w:rPr>
              <w:fldChar w:fldCharType="end"/>
            </w:r>
          </w:hyperlink>
        </w:p>
        <w:p w14:paraId="0A141939" w14:textId="4A9D810C"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73" w:history="1">
            <w:r w:rsidR="00293458" w:rsidRPr="002B400F">
              <w:rPr>
                <w:rStyle w:val="Hyperlink"/>
                <w:noProof/>
              </w:rPr>
              <w:t>4.1</w:t>
            </w:r>
            <w:r w:rsidR="00293458">
              <w:rPr>
                <w:rFonts w:asciiTheme="minorHAnsi" w:eastAsiaTheme="minorEastAsia" w:hAnsiTheme="minorHAnsi"/>
                <w:noProof/>
                <w:color w:val="auto"/>
                <w:lang w:eastAsia="pt-BR"/>
              </w:rPr>
              <w:tab/>
            </w:r>
            <w:r w:rsidR="00293458" w:rsidRPr="002B400F">
              <w:rPr>
                <w:rStyle w:val="Hyperlink"/>
                <w:noProof/>
              </w:rPr>
              <w:t>GESTÃO PRÓPRIA</w:t>
            </w:r>
            <w:r w:rsidR="00293458">
              <w:rPr>
                <w:noProof/>
                <w:webHidden/>
              </w:rPr>
              <w:tab/>
            </w:r>
            <w:r w:rsidR="00293458">
              <w:rPr>
                <w:noProof/>
                <w:webHidden/>
              </w:rPr>
              <w:fldChar w:fldCharType="begin"/>
            </w:r>
            <w:r w:rsidR="00293458">
              <w:rPr>
                <w:noProof/>
                <w:webHidden/>
              </w:rPr>
              <w:instrText xml:space="preserve"> PAGEREF _Toc90997473 \h </w:instrText>
            </w:r>
            <w:r w:rsidR="00293458">
              <w:rPr>
                <w:noProof/>
                <w:webHidden/>
              </w:rPr>
            </w:r>
            <w:r w:rsidR="00293458">
              <w:rPr>
                <w:noProof/>
                <w:webHidden/>
              </w:rPr>
              <w:fldChar w:fldCharType="separate"/>
            </w:r>
            <w:r w:rsidR="009260E0">
              <w:rPr>
                <w:noProof/>
                <w:webHidden/>
              </w:rPr>
              <w:t>6</w:t>
            </w:r>
            <w:r w:rsidR="00293458">
              <w:rPr>
                <w:noProof/>
                <w:webHidden/>
              </w:rPr>
              <w:fldChar w:fldCharType="end"/>
            </w:r>
          </w:hyperlink>
        </w:p>
        <w:p w14:paraId="40185116" w14:textId="4ACB776E"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74" w:history="1">
            <w:r w:rsidR="00293458" w:rsidRPr="002B400F">
              <w:rPr>
                <w:rStyle w:val="Hyperlink"/>
                <w:noProof/>
              </w:rPr>
              <w:t>4.2</w:t>
            </w:r>
            <w:r w:rsidR="00293458">
              <w:rPr>
                <w:rFonts w:asciiTheme="minorHAnsi" w:eastAsiaTheme="minorEastAsia" w:hAnsiTheme="minorHAnsi"/>
                <w:noProof/>
                <w:color w:val="auto"/>
                <w:lang w:eastAsia="pt-BR"/>
              </w:rPr>
              <w:tab/>
            </w:r>
            <w:r w:rsidR="00293458" w:rsidRPr="002B400F">
              <w:rPr>
                <w:rStyle w:val="Hyperlink"/>
                <w:noProof/>
              </w:rPr>
              <w:t>ÓRGÃOS DE EXECUÇÃO</w:t>
            </w:r>
            <w:r w:rsidR="00293458">
              <w:rPr>
                <w:noProof/>
                <w:webHidden/>
              </w:rPr>
              <w:tab/>
            </w:r>
            <w:r w:rsidR="00293458">
              <w:rPr>
                <w:noProof/>
                <w:webHidden/>
              </w:rPr>
              <w:fldChar w:fldCharType="begin"/>
            </w:r>
            <w:r w:rsidR="00293458">
              <w:rPr>
                <w:noProof/>
                <w:webHidden/>
              </w:rPr>
              <w:instrText xml:space="preserve"> PAGEREF _Toc90997474 \h </w:instrText>
            </w:r>
            <w:r w:rsidR="00293458">
              <w:rPr>
                <w:noProof/>
                <w:webHidden/>
              </w:rPr>
            </w:r>
            <w:r w:rsidR="00293458">
              <w:rPr>
                <w:noProof/>
                <w:webHidden/>
              </w:rPr>
              <w:fldChar w:fldCharType="separate"/>
            </w:r>
            <w:r w:rsidR="009260E0">
              <w:rPr>
                <w:noProof/>
                <w:webHidden/>
              </w:rPr>
              <w:t>6</w:t>
            </w:r>
            <w:r w:rsidR="00293458">
              <w:rPr>
                <w:noProof/>
                <w:webHidden/>
              </w:rPr>
              <w:fldChar w:fldCharType="end"/>
            </w:r>
          </w:hyperlink>
        </w:p>
        <w:p w14:paraId="7FEB875D" w14:textId="286259CF"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75" w:history="1">
            <w:r w:rsidR="00293458" w:rsidRPr="002B400F">
              <w:rPr>
                <w:rStyle w:val="Hyperlink"/>
                <w:noProof/>
              </w:rPr>
              <w:t>4.3</w:t>
            </w:r>
            <w:r w:rsidR="00293458">
              <w:rPr>
                <w:rFonts w:asciiTheme="minorHAnsi" w:eastAsiaTheme="minorEastAsia" w:hAnsiTheme="minorHAnsi"/>
                <w:noProof/>
                <w:color w:val="auto"/>
                <w:lang w:eastAsia="pt-BR"/>
              </w:rPr>
              <w:tab/>
            </w:r>
            <w:r w:rsidR="00293458" w:rsidRPr="002B400F">
              <w:rPr>
                <w:rStyle w:val="Hyperlink"/>
                <w:noProof/>
              </w:rPr>
              <w:t>CONSULTORIA DE VALORES MOBILIÁRIOS</w:t>
            </w:r>
            <w:r w:rsidR="00293458">
              <w:rPr>
                <w:noProof/>
                <w:webHidden/>
              </w:rPr>
              <w:tab/>
            </w:r>
            <w:r w:rsidR="00293458">
              <w:rPr>
                <w:noProof/>
                <w:webHidden/>
              </w:rPr>
              <w:fldChar w:fldCharType="begin"/>
            </w:r>
            <w:r w:rsidR="00293458">
              <w:rPr>
                <w:noProof/>
                <w:webHidden/>
              </w:rPr>
              <w:instrText xml:space="preserve"> PAGEREF _Toc90997475 \h </w:instrText>
            </w:r>
            <w:r w:rsidR="00293458">
              <w:rPr>
                <w:noProof/>
                <w:webHidden/>
              </w:rPr>
            </w:r>
            <w:r w:rsidR="00293458">
              <w:rPr>
                <w:noProof/>
                <w:webHidden/>
              </w:rPr>
              <w:fldChar w:fldCharType="separate"/>
            </w:r>
            <w:r w:rsidR="009260E0">
              <w:rPr>
                <w:noProof/>
                <w:webHidden/>
              </w:rPr>
              <w:t>7</w:t>
            </w:r>
            <w:r w:rsidR="00293458">
              <w:rPr>
                <w:noProof/>
                <w:webHidden/>
              </w:rPr>
              <w:fldChar w:fldCharType="end"/>
            </w:r>
          </w:hyperlink>
        </w:p>
        <w:p w14:paraId="09B4FAD7" w14:textId="3BD429DB"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6" w:history="1">
            <w:r w:rsidR="00293458" w:rsidRPr="002B400F">
              <w:rPr>
                <w:rStyle w:val="Hyperlink"/>
                <w:noProof/>
              </w:rPr>
              <w:t>5</w:t>
            </w:r>
            <w:r w:rsidR="00293458">
              <w:rPr>
                <w:rFonts w:asciiTheme="minorHAnsi" w:eastAsiaTheme="minorEastAsia" w:hAnsiTheme="minorHAnsi"/>
                <w:noProof/>
                <w:color w:val="auto"/>
                <w:lang w:eastAsia="pt-BR"/>
              </w:rPr>
              <w:tab/>
            </w:r>
            <w:r w:rsidR="00293458" w:rsidRPr="002B400F">
              <w:rPr>
                <w:rStyle w:val="Hyperlink"/>
                <w:noProof/>
              </w:rPr>
              <w:t>META DE RENTABILIDADE</w:t>
            </w:r>
            <w:r w:rsidR="00293458">
              <w:rPr>
                <w:noProof/>
                <w:webHidden/>
              </w:rPr>
              <w:tab/>
            </w:r>
            <w:r w:rsidR="00293458">
              <w:rPr>
                <w:noProof/>
                <w:webHidden/>
              </w:rPr>
              <w:fldChar w:fldCharType="begin"/>
            </w:r>
            <w:r w:rsidR="00293458">
              <w:rPr>
                <w:noProof/>
                <w:webHidden/>
              </w:rPr>
              <w:instrText xml:space="preserve"> PAGEREF _Toc90997476 \h </w:instrText>
            </w:r>
            <w:r w:rsidR="00293458">
              <w:rPr>
                <w:noProof/>
                <w:webHidden/>
              </w:rPr>
            </w:r>
            <w:r w:rsidR="00293458">
              <w:rPr>
                <w:noProof/>
                <w:webHidden/>
              </w:rPr>
              <w:fldChar w:fldCharType="separate"/>
            </w:r>
            <w:r w:rsidR="009260E0">
              <w:rPr>
                <w:noProof/>
                <w:webHidden/>
              </w:rPr>
              <w:t>9</w:t>
            </w:r>
            <w:r w:rsidR="00293458">
              <w:rPr>
                <w:noProof/>
                <w:webHidden/>
              </w:rPr>
              <w:fldChar w:fldCharType="end"/>
            </w:r>
          </w:hyperlink>
        </w:p>
        <w:p w14:paraId="7F07CDE9" w14:textId="6B4B4876"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7" w:history="1">
            <w:r w:rsidR="00293458" w:rsidRPr="002B400F">
              <w:rPr>
                <w:rStyle w:val="Hyperlink"/>
                <w:noProof/>
              </w:rPr>
              <w:t>6</w:t>
            </w:r>
            <w:r w:rsidR="00293458">
              <w:rPr>
                <w:rFonts w:asciiTheme="minorHAnsi" w:eastAsiaTheme="minorEastAsia" w:hAnsiTheme="minorHAnsi"/>
                <w:noProof/>
                <w:color w:val="auto"/>
                <w:lang w:eastAsia="pt-BR"/>
              </w:rPr>
              <w:tab/>
            </w:r>
            <w:r w:rsidR="00293458" w:rsidRPr="002B400F">
              <w:rPr>
                <w:rStyle w:val="Hyperlink"/>
                <w:noProof/>
              </w:rPr>
              <w:t>CENÁRIO ECONÔMICO</w:t>
            </w:r>
            <w:r w:rsidR="00293458">
              <w:rPr>
                <w:noProof/>
                <w:webHidden/>
              </w:rPr>
              <w:tab/>
            </w:r>
            <w:r w:rsidR="00293458">
              <w:rPr>
                <w:noProof/>
                <w:webHidden/>
              </w:rPr>
              <w:fldChar w:fldCharType="begin"/>
            </w:r>
            <w:r w:rsidR="00293458">
              <w:rPr>
                <w:noProof/>
                <w:webHidden/>
              </w:rPr>
              <w:instrText xml:space="preserve"> PAGEREF _Toc90997477 \h </w:instrText>
            </w:r>
            <w:r w:rsidR="00293458">
              <w:rPr>
                <w:noProof/>
                <w:webHidden/>
              </w:rPr>
            </w:r>
            <w:r w:rsidR="00293458">
              <w:rPr>
                <w:noProof/>
                <w:webHidden/>
              </w:rPr>
              <w:fldChar w:fldCharType="separate"/>
            </w:r>
            <w:r w:rsidR="009260E0">
              <w:rPr>
                <w:noProof/>
                <w:webHidden/>
              </w:rPr>
              <w:t>9</w:t>
            </w:r>
            <w:r w:rsidR="00293458">
              <w:rPr>
                <w:noProof/>
                <w:webHidden/>
              </w:rPr>
              <w:fldChar w:fldCharType="end"/>
            </w:r>
          </w:hyperlink>
        </w:p>
        <w:p w14:paraId="6973729B" w14:textId="27367D55"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78" w:history="1">
            <w:r w:rsidR="00293458" w:rsidRPr="002B400F">
              <w:rPr>
                <w:rStyle w:val="Hyperlink"/>
                <w:noProof/>
              </w:rPr>
              <w:t>6.1</w:t>
            </w:r>
            <w:r w:rsidR="00293458">
              <w:rPr>
                <w:rFonts w:asciiTheme="minorHAnsi" w:eastAsiaTheme="minorEastAsia" w:hAnsiTheme="minorHAnsi"/>
                <w:noProof/>
                <w:color w:val="auto"/>
                <w:lang w:eastAsia="pt-BR"/>
              </w:rPr>
              <w:tab/>
            </w:r>
            <w:r w:rsidR="00293458" w:rsidRPr="002B400F">
              <w:rPr>
                <w:rStyle w:val="Hyperlink"/>
                <w:noProof/>
              </w:rPr>
              <w:t>EXPECTATIVAS DE MERCADO</w:t>
            </w:r>
            <w:r w:rsidR="00293458">
              <w:rPr>
                <w:noProof/>
                <w:webHidden/>
              </w:rPr>
              <w:tab/>
            </w:r>
            <w:r w:rsidR="00293458">
              <w:rPr>
                <w:noProof/>
                <w:webHidden/>
              </w:rPr>
              <w:fldChar w:fldCharType="begin"/>
            </w:r>
            <w:r w:rsidR="00293458">
              <w:rPr>
                <w:noProof/>
                <w:webHidden/>
              </w:rPr>
              <w:instrText xml:space="preserve"> PAGEREF _Toc90997478 \h </w:instrText>
            </w:r>
            <w:r w:rsidR="00293458">
              <w:rPr>
                <w:noProof/>
                <w:webHidden/>
              </w:rPr>
            </w:r>
            <w:r w:rsidR="00293458">
              <w:rPr>
                <w:noProof/>
                <w:webHidden/>
              </w:rPr>
              <w:fldChar w:fldCharType="separate"/>
            </w:r>
            <w:r w:rsidR="009260E0">
              <w:rPr>
                <w:noProof/>
                <w:webHidden/>
              </w:rPr>
              <w:t>15</w:t>
            </w:r>
            <w:r w:rsidR="00293458">
              <w:rPr>
                <w:noProof/>
                <w:webHidden/>
              </w:rPr>
              <w:fldChar w:fldCharType="end"/>
            </w:r>
          </w:hyperlink>
        </w:p>
        <w:p w14:paraId="0D009408" w14:textId="034BDF21"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79" w:history="1">
            <w:r w:rsidR="00293458" w:rsidRPr="002B400F">
              <w:rPr>
                <w:rStyle w:val="Hyperlink"/>
                <w:noProof/>
              </w:rPr>
              <w:t>7</w:t>
            </w:r>
            <w:r w:rsidR="00293458">
              <w:rPr>
                <w:rFonts w:asciiTheme="minorHAnsi" w:eastAsiaTheme="minorEastAsia" w:hAnsiTheme="minorHAnsi"/>
                <w:noProof/>
                <w:color w:val="auto"/>
                <w:lang w:eastAsia="pt-BR"/>
              </w:rPr>
              <w:tab/>
            </w:r>
            <w:r w:rsidR="00293458" w:rsidRPr="002B400F">
              <w:rPr>
                <w:rStyle w:val="Hyperlink"/>
                <w:noProof/>
              </w:rPr>
              <w:t>ALOCAÇÃO ESTRATÉGICA DOS RECURSOS</w:t>
            </w:r>
            <w:r w:rsidR="00293458">
              <w:rPr>
                <w:noProof/>
                <w:webHidden/>
              </w:rPr>
              <w:tab/>
            </w:r>
            <w:r w:rsidR="00293458">
              <w:rPr>
                <w:noProof/>
                <w:webHidden/>
              </w:rPr>
              <w:fldChar w:fldCharType="begin"/>
            </w:r>
            <w:r w:rsidR="00293458">
              <w:rPr>
                <w:noProof/>
                <w:webHidden/>
              </w:rPr>
              <w:instrText xml:space="preserve"> PAGEREF _Toc90997479 \h </w:instrText>
            </w:r>
            <w:r w:rsidR="00293458">
              <w:rPr>
                <w:noProof/>
                <w:webHidden/>
              </w:rPr>
            </w:r>
            <w:r w:rsidR="00293458">
              <w:rPr>
                <w:noProof/>
                <w:webHidden/>
              </w:rPr>
              <w:fldChar w:fldCharType="separate"/>
            </w:r>
            <w:r w:rsidR="009260E0">
              <w:rPr>
                <w:noProof/>
                <w:webHidden/>
              </w:rPr>
              <w:t>16</w:t>
            </w:r>
            <w:r w:rsidR="00293458">
              <w:rPr>
                <w:noProof/>
                <w:webHidden/>
              </w:rPr>
              <w:fldChar w:fldCharType="end"/>
            </w:r>
          </w:hyperlink>
        </w:p>
        <w:p w14:paraId="6A3BA3B6" w14:textId="08D42F6D"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0" w:history="1">
            <w:r w:rsidR="00293458" w:rsidRPr="002B400F">
              <w:rPr>
                <w:rStyle w:val="Hyperlink"/>
                <w:noProof/>
              </w:rPr>
              <w:t>7.1</w:t>
            </w:r>
            <w:r w:rsidR="00293458">
              <w:rPr>
                <w:rFonts w:asciiTheme="minorHAnsi" w:eastAsiaTheme="minorEastAsia" w:hAnsiTheme="minorHAnsi"/>
                <w:noProof/>
                <w:color w:val="auto"/>
                <w:lang w:eastAsia="pt-BR"/>
              </w:rPr>
              <w:tab/>
            </w:r>
            <w:r w:rsidR="00293458" w:rsidRPr="002B400F">
              <w:rPr>
                <w:rStyle w:val="Hyperlink"/>
                <w:noProof/>
              </w:rPr>
              <w:t>SEGMENTO DE RENDA FIXA</w:t>
            </w:r>
            <w:r w:rsidR="00293458">
              <w:rPr>
                <w:noProof/>
                <w:webHidden/>
              </w:rPr>
              <w:tab/>
            </w:r>
            <w:r w:rsidR="00293458">
              <w:rPr>
                <w:noProof/>
                <w:webHidden/>
              </w:rPr>
              <w:fldChar w:fldCharType="begin"/>
            </w:r>
            <w:r w:rsidR="00293458">
              <w:rPr>
                <w:noProof/>
                <w:webHidden/>
              </w:rPr>
              <w:instrText xml:space="preserve"> PAGEREF _Toc90997480 \h </w:instrText>
            </w:r>
            <w:r w:rsidR="00293458">
              <w:rPr>
                <w:noProof/>
                <w:webHidden/>
              </w:rPr>
            </w:r>
            <w:r w:rsidR="00293458">
              <w:rPr>
                <w:noProof/>
                <w:webHidden/>
              </w:rPr>
              <w:fldChar w:fldCharType="separate"/>
            </w:r>
            <w:r w:rsidR="009260E0">
              <w:rPr>
                <w:noProof/>
                <w:webHidden/>
              </w:rPr>
              <w:t>17</w:t>
            </w:r>
            <w:r w:rsidR="00293458">
              <w:rPr>
                <w:noProof/>
                <w:webHidden/>
              </w:rPr>
              <w:fldChar w:fldCharType="end"/>
            </w:r>
          </w:hyperlink>
        </w:p>
        <w:p w14:paraId="0D046EC9" w14:textId="53B8194E"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1" w:history="1">
            <w:r w:rsidR="00293458" w:rsidRPr="002B400F">
              <w:rPr>
                <w:rStyle w:val="Hyperlink"/>
                <w:noProof/>
              </w:rPr>
              <w:t>7.2</w:t>
            </w:r>
            <w:r w:rsidR="00293458">
              <w:rPr>
                <w:rFonts w:asciiTheme="minorHAnsi" w:eastAsiaTheme="minorEastAsia" w:hAnsiTheme="minorHAnsi"/>
                <w:noProof/>
                <w:color w:val="auto"/>
                <w:lang w:eastAsia="pt-BR"/>
              </w:rPr>
              <w:tab/>
            </w:r>
            <w:r w:rsidR="00293458" w:rsidRPr="002B400F">
              <w:rPr>
                <w:rStyle w:val="Hyperlink"/>
                <w:noProof/>
              </w:rPr>
              <w:t>SEGMENTO DE RENDA VARIÁVEL, INVESTIMENTOS ESTRUTURADOS E FUNDOS DE INVESTIMENTOS IMOBILIÁRIOS</w:t>
            </w:r>
            <w:r w:rsidR="00293458">
              <w:rPr>
                <w:noProof/>
                <w:webHidden/>
              </w:rPr>
              <w:tab/>
            </w:r>
            <w:r w:rsidR="00293458">
              <w:rPr>
                <w:noProof/>
                <w:webHidden/>
              </w:rPr>
              <w:fldChar w:fldCharType="begin"/>
            </w:r>
            <w:r w:rsidR="00293458">
              <w:rPr>
                <w:noProof/>
                <w:webHidden/>
              </w:rPr>
              <w:instrText xml:space="preserve"> PAGEREF _Toc90997481 \h </w:instrText>
            </w:r>
            <w:r w:rsidR="00293458">
              <w:rPr>
                <w:noProof/>
                <w:webHidden/>
              </w:rPr>
            </w:r>
            <w:r w:rsidR="00293458">
              <w:rPr>
                <w:noProof/>
                <w:webHidden/>
              </w:rPr>
              <w:fldChar w:fldCharType="separate"/>
            </w:r>
            <w:r w:rsidR="009260E0">
              <w:rPr>
                <w:noProof/>
                <w:webHidden/>
              </w:rPr>
              <w:t>18</w:t>
            </w:r>
            <w:r w:rsidR="00293458">
              <w:rPr>
                <w:noProof/>
                <w:webHidden/>
              </w:rPr>
              <w:fldChar w:fldCharType="end"/>
            </w:r>
          </w:hyperlink>
        </w:p>
        <w:p w14:paraId="7E1ADD8C" w14:textId="327E66E5"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2" w:history="1">
            <w:r w:rsidR="00293458" w:rsidRPr="002B400F">
              <w:rPr>
                <w:rStyle w:val="Hyperlink"/>
                <w:noProof/>
              </w:rPr>
              <w:t>7.3</w:t>
            </w:r>
            <w:r w:rsidR="00293458">
              <w:rPr>
                <w:rFonts w:asciiTheme="minorHAnsi" w:eastAsiaTheme="minorEastAsia" w:hAnsiTheme="minorHAnsi"/>
                <w:noProof/>
                <w:color w:val="auto"/>
                <w:lang w:eastAsia="pt-BR"/>
              </w:rPr>
              <w:tab/>
            </w:r>
            <w:r w:rsidR="00293458" w:rsidRPr="002B400F">
              <w:rPr>
                <w:rStyle w:val="Hyperlink"/>
                <w:noProof/>
              </w:rPr>
              <w:t>SEGMENTO DE INVESTIMENTOS NO EXTERIOR</w:t>
            </w:r>
            <w:r w:rsidR="00293458">
              <w:rPr>
                <w:noProof/>
                <w:webHidden/>
              </w:rPr>
              <w:tab/>
            </w:r>
            <w:r w:rsidR="00293458">
              <w:rPr>
                <w:noProof/>
                <w:webHidden/>
              </w:rPr>
              <w:fldChar w:fldCharType="begin"/>
            </w:r>
            <w:r w:rsidR="00293458">
              <w:rPr>
                <w:noProof/>
                <w:webHidden/>
              </w:rPr>
              <w:instrText xml:space="preserve"> PAGEREF _Toc90997482 \h </w:instrText>
            </w:r>
            <w:r w:rsidR="00293458">
              <w:rPr>
                <w:noProof/>
                <w:webHidden/>
              </w:rPr>
            </w:r>
            <w:r w:rsidR="00293458">
              <w:rPr>
                <w:noProof/>
                <w:webHidden/>
              </w:rPr>
              <w:fldChar w:fldCharType="separate"/>
            </w:r>
            <w:r w:rsidR="009260E0">
              <w:rPr>
                <w:noProof/>
                <w:webHidden/>
              </w:rPr>
              <w:t>18</w:t>
            </w:r>
            <w:r w:rsidR="00293458">
              <w:rPr>
                <w:noProof/>
                <w:webHidden/>
              </w:rPr>
              <w:fldChar w:fldCharType="end"/>
            </w:r>
          </w:hyperlink>
        </w:p>
        <w:p w14:paraId="67B23D77" w14:textId="269D2EA9"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3" w:history="1">
            <w:r w:rsidR="00293458" w:rsidRPr="002B400F">
              <w:rPr>
                <w:rStyle w:val="Hyperlink"/>
                <w:noProof/>
              </w:rPr>
              <w:t>7.4</w:t>
            </w:r>
            <w:r w:rsidR="00293458">
              <w:rPr>
                <w:rFonts w:asciiTheme="minorHAnsi" w:eastAsiaTheme="minorEastAsia" w:hAnsiTheme="minorHAnsi"/>
                <w:noProof/>
                <w:color w:val="auto"/>
                <w:lang w:eastAsia="pt-BR"/>
              </w:rPr>
              <w:tab/>
            </w:r>
            <w:r w:rsidR="00293458" w:rsidRPr="002B400F">
              <w:rPr>
                <w:rStyle w:val="Hyperlink"/>
                <w:noProof/>
              </w:rPr>
              <w:t>EMPRÉSTIMO CONSIGNADO</w:t>
            </w:r>
            <w:r w:rsidR="00293458">
              <w:rPr>
                <w:noProof/>
                <w:webHidden/>
              </w:rPr>
              <w:tab/>
            </w:r>
            <w:r w:rsidR="00293458">
              <w:rPr>
                <w:noProof/>
                <w:webHidden/>
              </w:rPr>
              <w:fldChar w:fldCharType="begin"/>
            </w:r>
            <w:r w:rsidR="00293458">
              <w:rPr>
                <w:noProof/>
                <w:webHidden/>
              </w:rPr>
              <w:instrText xml:space="preserve"> PAGEREF _Toc90997483 \h </w:instrText>
            </w:r>
            <w:r w:rsidR="00293458">
              <w:rPr>
                <w:noProof/>
                <w:webHidden/>
              </w:rPr>
            </w:r>
            <w:r w:rsidR="00293458">
              <w:rPr>
                <w:noProof/>
                <w:webHidden/>
              </w:rPr>
              <w:fldChar w:fldCharType="separate"/>
            </w:r>
            <w:r w:rsidR="009260E0">
              <w:rPr>
                <w:noProof/>
                <w:webHidden/>
              </w:rPr>
              <w:t>18</w:t>
            </w:r>
            <w:r w:rsidR="00293458">
              <w:rPr>
                <w:noProof/>
                <w:webHidden/>
              </w:rPr>
              <w:fldChar w:fldCharType="end"/>
            </w:r>
          </w:hyperlink>
        </w:p>
        <w:p w14:paraId="3BECF6F1" w14:textId="3A48ED2E"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4" w:history="1">
            <w:r w:rsidR="00293458" w:rsidRPr="002B400F">
              <w:rPr>
                <w:rStyle w:val="Hyperlink"/>
                <w:noProof/>
              </w:rPr>
              <w:t>7.5</w:t>
            </w:r>
            <w:r w:rsidR="00293458">
              <w:rPr>
                <w:rFonts w:asciiTheme="minorHAnsi" w:eastAsiaTheme="minorEastAsia" w:hAnsiTheme="minorHAnsi"/>
                <w:noProof/>
                <w:color w:val="auto"/>
                <w:lang w:eastAsia="pt-BR"/>
              </w:rPr>
              <w:tab/>
            </w:r>
            <w:r w:rsidR="00293458" w:rsidRPr="002B400F">
              <w:rPr>
                <w:rStyle w:val="Hyperlink"/>
                <w:noProof/>
              </w:rPr>
              <w:t>LIMITES GERAIS</w:t>
            </w:r>
            <w:r w:rsidR="00293458">
              <w:rPr>
                <w:noProof/>
                <w:webHidden/>
              </w:rPr>
              <w:tab/>
            </w:r>
            <w:r w:rsidR="00293458">
              <w:rPr>
                <w:noProof/>
                <w:webHidden/>
              </w:rPr>
              <w:fldChar w:fldCharType="begin"/>
            </w:r>
            <w:r w:rsidR="00293458">
              <w:rPr>
                <w:noProof/>
                <w:webHidden/>
              </w:rPr>
              <w:instrText xml:space="preserve"> PAGEREF _Toc90997484 \h </w:instrText>
            </w:r>
            <w:r w:rsidR="00293458">
              <w:rPr>
                <w:noProof/>
                <w:webHidden/>
              </w:rPr>
            </w:r>
            <w:r w:rsidR="00293458">
              <w:rPr>
                <w:noProof/>
                <w:webHidden/>
              </w:rPr>
              <w:fldChar w:fldCharType="separate"/>
            </w:r>
            <w:r w:rsidR="009260E0">
              <w:rPr>
                <w:noProof/>
                <w:webHidden/>
              </w:rPr>
              <w:t>19</w:t>
            </w:r>
            <w:r w:rsidR="00293458">
              <w:rPr>
                <w:noProof/>
                <w:webHidden/>
              </w:rPr>
              <w:fldChar w:fldCharType="end"/>
            </w:r>
          </w:hyperlink>
        </w:p>
        <w:p w14:paraId="0CCA46EF" w14:textId="266B8CEC"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5" w:history="1">
            <w:r w:rsidR="00293458" w:rsidRPr="002B400F">
              <w:rPr>
                <w:rStyle w:val="Hyperlink"/>
                <w:noProof/>
              </w:rPr>
              <w:t>7.6</w:t>
            </w:r>
            <w:r w:rsidR="00293458">
              <w:rPr>
                <w:rFonts w:asciiTheme="minorHAnsi" w:eastAsiaTheme="minorEastAsia" w:hAnsiTheme="minorHAnsi"/>
                <w:noProof/>
                <w:color w:val="auto"/>
                <w:lang w:eastAsia="pt-BR"/>
              </w:rPr>
              <w:tab/>
            </w:r>
            <w:r w:rsidR="00293458" w:rsidRPr="002B400F">
              <w:rPr>
                <w:rStyle w:val="Hyperlink"/>
                <w:noProof/>
              </w:rPr>
              <w:t>DEMAIS ENQUADRAMENTO</w:t>
            </w:r>
            <w:r w:rsidR="00293458">
              <w:rPr>
                <w:noProof/>
                <w:webHidden/>
              </w:rPr>
              <w:tab/>
            </w:r>
            <w:r w:rsidR="00293458">
              <w:rPr>
                <w:noProof/>
                <w:webHidden/>
              </w:rPr>
              <w:fldChar w:fldCharType="begin"/>
            </w:r>
            <w:r w:rsidR="00293458">
              <w:rPr>
                <w:noProof/>
                <w:webHidden/>
              </w:rPr>
              <w:instrText xml:space="preserve"> PAGEREF _Toc90997485 \h </w:instrText>
            </w:r>
            <w:r w:rsidR="00293458">
              <w:rPr>
                <w:noProof/>
                <w:webHidden/>
              </w:rPr>
            </w:r>
            <w:r w:rsidR="00293458">
              <w:rPr>
                <w:noProof/>
                <w:webHidden/>
              </w:rPr>
              <w:fldChar w:fldCharType="separate"/>
            </w:r>
            <w:r w:rsidR="009260E0">
              <w:rPr>
                <w:noProof/>
                <w:webHidden/>
              </w:rPr>
              <w:t>19</w:t>
            </w:r>
            <w:r w:rsidR="00293458">
              <w:rPr>
                <w:noProof/>
                <w:webHidden/>
              </w:rPr>
              <w:fldChar w:fldCharType="end"/>
            </w:r>
          </w:hyperlink>
        </w:p>
        <w:p w14:paraId="470FE7F6" w14:textId="6D7B3D1C"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6" w:history="1">
            <w:r w:rsidR="00293458" w:rsidRPr="002B400F">
              <w:rPr>
                <w:rStyle w:val="Hyperlink"/>
                <w:noProof/>
              </w:rPr>
              <w:t>7.7</w:t>
            </w:r>
            <w:r w:rsidR="00293458">
              <w:rPr>
                <w:rFonts w:asciiTheme="minorHAnsi" w:eastAsiaTheme="minorEastAsia" w:hAnsiTheme="minorHAnsi"/>
                <w:noProof/>
                <w:color w:val="auto"/>
                <w:lang w:eastAsia="pt-BR"/>
              </w:rPr>
              <w:tab/>
            </w:r>
            <w:r w:rsidR="00293458" w:rsidRPr="002B400F">
              <w:rPr>
                <w:rStyle w:val="Hyperlink"/>
                <w:noProof/>
              </w:rPr>
              <w:t>VEDAÇÕES</w:t>
            </w:r>
            <w:r w:rsidR="00293458">
              <w:rPr>
                <w:noProof/>
                <w:webHidden/>
              </w:rPr>
              <w:tab/>
            </w:r>
            <w:r w:rsidR="00293458">
              <w:rPr>
                <w:noProof/>
                <w:webHidden/>
              </w:rPr>
              <w:fldChar w:fldCharType="begin"/>
            </w:r>
            <w:r w:rsidR="00293458">
              <w:rPr>
                <w:noProof/>
                <w:webHidden/>
              </w:rPr>
              <w:instrText xml:space="preserve"> PAGEREF _Toc90997486 \h </w:instrText>
            </w:r>
            <w:r w:rsidR="00293458">
              <w:rPr>
                <w:noProof/>
                <w:webHidden/>
              </w:rPr>
            </w:r>
            <w:r w:rsidR="00293458">
              <w:rPr>
                <w:noProof/>
                <w:webHidden/>
              </w:rPr>
              <w:fldChar w:fldCharType="separate"/>
            </w:r>
            <w:r w:rsidR="009260E0">
              <w:rPr>
                <w:noProof/>
                <w:webHidden/>
              </w:rPr>
              <w:t>21</w:t>
            </w:r>
            <w:r w:rsidR="00293458">
              <w:rPr>
                <w:noProof/>
                <w:webHidden/>
              </w:rPr>
              <w:fldChar w:fldCharType="end"/>
            </w:r>
          </w:hyperlink>
        </w:p>
        <w:p w14:paraId="4842977E" w14:textId="07A55A66"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87" w:history="1">
            <w:r w:rsidR="00293458" w:rsidRPr="002B400F">
              <w:rPr>
                <w:rStyle w:val="Hyperlink"/>
                <w:noProof/>
              </w:rPr>
              <w:t>8</w:t>
            </w:r>
            <w:r w:rsidR="00293458">
              <w:rPr>
                <w:rFonts w:asciiTheme="minorHAnsi" w:eastAsiaTheme="minorEastAsia" w:hAnsiTheme="minorHAnsi"/>
                <w:noProof/>
                <w:color w:val="auto"/>
                <w:lang w:eastAsia="pt-BR"/>
              </w:rPr>
              <w:tab/>
            </w:r>
            <w:r w:rsidR="00293458" w:rsidRPr="002B400F">
              <w:rPr>
                <w:rStyle w:val="Hyperlink"/>
                <w:noProof/>
              </w:rPr>
              <w:t>CONTROLE DE RISCO</w:t>
            </w:r>
            <w:r w:rsidR="00293458">
              <w:rPr>
                <w:noProof/>
                <w:webHidden/>
              </w:rPr>
              <w:tab/>
            </w:r>
            <w:r w:rsidR="00293458">
              <w:rPr>
                <w:noProof/>
                <w:webHidden/>
              </w:rPr>
              <w:fldChar w:fldCharType="begin"/>
            </w:r>
            <w:r w:rsidR="00293458">
              <w:rPr>
                <w:noProof/>
                <w:webHidden/>
              </w:rPr>
              <w:instrText xml:space="preserve"> PAGEREF _Toc90997487 \h </w:instrText>
            </w:r>
            <w:r w:rsidR="00293458">
              <w:rPr>
                <w:noProof/>
                <w:webHidden/>
              </w:rPr>
            </w:r>
            <w:r w:rsidR="00293458">
              <w:rPr>
                <w:noProof/>
                <w:webHidden/>
              </w:rPr>
              <w:fldChar w:fldCharType="separate"/>
            </w:r>
            <w:r w:rsidR="009260E0">
              <w:rPr>
                <w:noProof/>
                <w:webHidden/>
              </w:rPr>
              <w:t>21</w:t>
            </w:r>
            <w:r w:rsidR="00293458">
              <w:rPr>
                <w:noProof/>
                <w:webHidden/>
              </w:rPr>
              <w:fldChar w:fldCharType="end"/>
            </w:r>
          </w:hyperlink>
        </w:p>
        <w:p w14:paraId="3DBA8F6B" w14:textId="35406ACF"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8" w:history="1">
            <w:r w:rsidR="00293458" w:rsidRPr="002B400F">
              <w:rPr>
                <w:rStyle w:val="Hyperlink"/>
                <w:bCs/>
                <w:noProof/>
              </w:rPr>
              <w:t>8.1</w:t>
            </w:r>
            <w:r w:rsidR="00293458">
              <w:rPr>
                <w:rFonts w:asciiTheme="minorHAnsi" w:eastAsiaTheme="minorEastAsia" w:hAnsiTheme="minorHAnsi"/>
                <w:noProof/>
                <w:color w:val="auto"/>
                <w:lang w:eastAsia="pt-BR"/>
              </w:rPr>
              <w:tab/>
            </w:r>
            <w:r w:rsidR="00293458" w:rsidRPr="002B400F">
              <w:rPr>
                <w:rStyle w:val="Hyperlink"/>
                <w:noProof/>
              </w:rPr>
              <w:t>CONTROLE DO RISCO DE MERCADO</w:t>
            </w:r>
            <w:r w:rsidR="00293458">
              <w:rPr>
                <w:noProof/>
                <w:webHidden/>
              </w:rPr>
              <w:tab/>
            </w:r>
            <w:r w:rsidR="00293458">
              <w:rPr>
                <w:noProof/>
                <w:webHidden/>
              </w:rPr>
              <w:fldChar w:fldCharType="begin"/>
            </w:r>
            <w:r w:rsidR="00293458">
              <w:rPr>
                <w:noProof/>
                <w:webHidden/>
              </w:rPr>
              <w:instrText xml:space="preserve"> PAGEREF _Toc90997488 \h </w:instrText>
            </w:r>
            <w:r w:rsidR="00293458">
              <w:rPr>
                <w:noProof/>
                <w:webHidden/>
              </w:rPr>
            </w:r>
            <w:r w:rsidR="00293458">
              <w:rPr>
                <w:noProof/>
                <w:webHidden/>
              </w:rPr>
              <w:fldChar w:fldCharType="separate"/>
            </w:r>
            <w:r w:rsidR="009260E0">
              <w:rPr>
                <w:noProof/>
                <w:webHidden/>
              </w:rPr>
              <w:t>22</w:t>
            </w:r>
            <w:r w:rsidR="00293458">
              <w:rPr>
                <w:noProof/>
                <w:webHidden/>
              </w:rPr>
              <w:fldChar w:fldCharType="end"/>
            </w:r>
          </w:hyperlink>
        </w:p>
        <w:p w14:paraId="391CE31F" w14:textId="4D686324"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89" w:history="1">
            <w:r w:rsidR="00293458" w:rsidRPr="002B400F">
              <w:rPr>
                <w:rStyle w:val="Hyperlink"/>
                <w:noProof/>
              </w:rPr>
              <w:t>8.2</w:t>
            </w:r>
            <w:r w:rsidR="00293458">
              <w:rPr>
                <w:rFonts w:asciiTheme="minorHAnsi" w:eastAsiaTheme="minorEastAsia" w:hAnsiTheme="minorHAnsi"/>
                <w:noProof/>
                <w:color w:val="auto"/>
                <w:lang w:eastAsia="pt-BR"/>
              </w:rPr>
              <w:tab/>
            </w:r>
            <w:r w:rsidR="00293458" w:rsidRPr="002B400F">
              <w:rPr>
                <w:rStyle w:val="Hyperlink"/>
                <w:noProof/>
              </w:rPr>
              <w:t>CONTROLE DO RISCO DE CRÉDITO</w:t>
            </w:r>
            <w:r w:rsidR="00293458">
              <w:rPr>
                <w:noProof/>
                <w:webHidden/>
              </w:rPr>
              <w:tab/>
            </w:r>
            <w:r w:rsidR="00293458">
              <w:rPr>
                <w:noProof/>
                <w:webHidden/>
              </w:rPr>
              <w:fldChar w:fldCharType="begin"/>
            </w:r>
            <w:r w:rsidR="00293458">
              <w:rPr>
                <w:noProof/>
                <w:webHidden/>
              </w:rPr>
              <w:instrText xml:space="preserve"> PAGEREF _Toc90997489 \h </w:instrText>
            </w:r>
            <w:r w:rsidR="00293458">
              <w:rPr>
                <w:noProof/>
                <w:webHidden/>
              </w:rPr>
            </w:r>
            <w:r w:rsidR="00293458">
              <w:rPr>
                <w:noProof/>
                <w:webHidden/>
              </w:rPr>
              <w:fldChar w:fldCharType="separate"/>
            </w:r>
            <w:r w:rsidR="009260E0">
              <w:rPr>
                <w:noProof/>
                <w:webHidden/>
              </w:rPr>
              <w:t>22</w:t>
            </w:r>
            <w:r w:rsidR="00293458">
              <w:rPr>
                <w:noProof/>
                <w:webHidden/>
              </w:rPr>
              <w:fldChar w:fldCharType="end"/>
            </w:r>
          </w:hyperlink>
        </w:p>
        <w:p w14:paraId="244201A4" w14:textId="0512A3FB"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90" w:history="1">
            <w:r w:rsidR="00293458" w:rsidRPr="002B400F">
              <w:rPr>
                <w:rStyle w:val="Hyperlink"/>
                <w:noProof/>
              </w:rPr>
              <w:t>8.3</w:t>
            </w:r>
            <w:r w:rsidR="00293458">
              <w:rPr>
                <w:rFonts w:asciiTheme="minorHAnsi" w:eastAsiaTheme="minorEastAsia" w:hAnsiTheme="minorHAnsi"/>
                <w:noProof/>
                <w:color w:val="auto"/>
                <w:lang w:eastAsia="pt-BR"/>
              </w:rPr>
              <w:tab/>
            </w:r>
            <w:r w:rsidR="00293458" w:rsidRPr="002B400F">
              <w:rPr>
                <w:rStyle w:val="Hyperlink"/>
                <w:noProof/>
              </w:rPr>
              <w:t>CONTROLE DO RISCO DE LIQUIDEZ</w:t>
            </w:r>
            <w:r w:rsidR="00293458">
              <w:rPr>
                <w:noProof/>
                <w:webHidden/>
              </w:rPr>
              <w:tab/>
            </w:r>
            <w:r w:rsidR="00293458">
              <w:rPr>
                <w:noProof/>
                <w:webHidden/>
              </w:rPr>
              <w:fldChar w:fldCharType="begin"/>
            </w:r>
            <w:r w:rsidR="00293458">
              <w:rPr>
                <w:noProof/>
                <w:webHidden/>
              </w:rPr>
              <w:instrText xml:space="preserve"> PAGEREF _Toc90997490 \h </w:instrText>
            </w:r>
            <w:r w:rsidR="00293458">
              <w:rPr>
                <w:noProof/>
                <w:webHidden/>
              </w:rPr>
            </w:r>
            <w:r w:rsidR="00293458">
              <w:rPr>
                <w:noProof/>
                <w:webHidden/>
              </w:rPr>
              <w:fldChar w:fldCharType="separate"/>
            </w:r>
            <w:r w:rsidR="009260E0">
              <w:rPr>
                <w:noProof/>
                <w:webHidden/>
              </w:rPr>
              <w:t>23</w:t>
            </w:r>
            <w:r w:rsidR="00293458">
              <w:rPr>
                <w:noProof/>
                <w:webHidden/>
              </w:rPr>
              <w:fldChar w:fldCharType="end"/>
            </w:r>
          </w:hyperlink>
        </w:p>
        <w:p w14:paraId="1345C134" w14:textId="02F1DE11" w:rsidR="00293458" w:rsidRDefault="00C07AFB">
          <w:pPr>
            <w:pStyle w:val="Sumrio1"/>
            <w:tabs>
              <w:tab w:val="left" w:pos="400"/>
              <w:tab w:val="right" w:leader="dot" w:pos="9061"/>
            </w:tabs>
            <w:rPr>
              <w:rFonts w:asciiTheme="minorHAnsi" w:eastAsiaTheme="minorEastAsia" w:hAnsiTheme="minorHAnsi"/>
              <w:noProof/>
              <w:color w:val="auto"/>
              <w:lang w:eastAsia="pt-BR"/>
            </w:rPr>
          </w:pPr>
          <w:hyperlink w:anchor="_Toc90997491" w:history="1">
            <w:r w:rsidR="00293458" w:rsidRPr="002B400F">
              <w:rPr>
                <w:rStyle w:val="Hyperlink"/>
                <w:noProof/>
              </w:rPr>
              <w:t>9</w:t>
            </w:r>
            <w:r w:rsidR="00293458">
              <w:rPr>
                <w:rFonts w:asciiTheme="minorHAnsi" w:eastAsiaTheme="minorEastAsia" w:hAnsiTheme="minorHAnsi"/>
                <w:noProof/>
                <w:color w:val="auto"/>
                <w:lang w:eastAsia="pt-BR"/>
              </w:rPr>
              <w:tab/>
            </w:r>
            <w:r w:rsidR="00293458" w:rsidRPr="002B400F">
              <w:rPr>
                <w:rStyle w:val="Hyperlink"/>
                <w:noProof/>
              </w:rPr>
              <w:t>ALM – ASSET LIABILITY MANAGEMENT</w:t>
            </w:r>
            <w:r w:rsidR="00293458">
              <w:rPr>
                <w:noProof/>
                <w:webHidden/>
              </w:rPr>
              <w:tab/>
            </w:r>
            <w:r w:rsidR="00293458">
              <w:rPr>
                <w:noProof/>
                <w:webHidden/>
              </w:rPr>
              <w:fldChar w:fldCharType="begin"/>
            </w:r>
            <w:r w:rsidR="00293458">
              <w:rPr>
                <w:noProof/>
                <w:webHidden/>
              </w:rPr>
              <w:instrText xml:space="preserve"> PAGEREF _Toc90997491 \h </w:instrText>
            </w:r>
            <w:r w:rsidR="00293458">
              <w:rPr>
                <w:noProof/>
                <w:webHidden/>
              </w:rPr>
            </w:r>
            <w:r w:rsidR="00293458">
              <w:rPr>
                <w:noProof/>
                <w:webHidden/>
              </w:rPr>
              <w:fldChar w:fldCharType="separate"/>
            </w:r>
            <w:r w:rsidR="009260E0">
              <w:rPr>
                <w:noProof/>
                <w:webHidden/>
              </w:rPr>
              <w:t>23</w:t>
            </w:r>
            <w:r w:rsidR="00293458">
              <w:rPr>
                <w:noProof/>
                <w:webHidden/>
              </w:rPr>
              <w:fldChar w:fldCharType="end"/>
            </w:r>
          </w:hyperlink>
        </w:p>
        <w:p w14:paraId="7611AC72" w14:textId="2EE20D2C"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492" w:history="1">
            <w:r w:rsidR="00293458" w:rsidRPr="002B400F">
              <w:rPr>
                <w:rStyle w:val="Hyperlink"/>
                <w:noProof/>
              </w:rPr>
              <w:t>10</w:t>
            </w:r>
            <w:r w:rsidR="00293458">
              <w:rPr>
                <w:rFonts w:asciiTheme="minorHAnsi" w:eastAsiaTheme="minorEastAsia" w:hAnsiTheme="minorHAnsi"/>
                <w:noProof/>
                <w:color w:val="auto"/>
                <w:lang w:eastAsia="pt-BR"/>
              </w:rPr>
              <w:tab/>
            </w:r>
            <w:r w:rsidR="00293458" w:rsidRPr="002B400F">
              <w:rPr>
                <w:rStyle w:val="Hyperlink"/>
                <w:noProof/>
              </w:rPr>
              <w:t>POLÍTICA DE TRANSPARÊNCIA</w:t>
            </w:r>
            <w:r w:rsidR="00293458">
              <w:rPr>
                <w:noProof/>
                <w:webHidden/>
              </w:rPr>
              <w:tab/>
            </w:r>
            <w:r w:rsidR="00293458">
              <w:rPr>
                <w:noProof/>
                <w:webHidden/>
              </w:rPr>
              <w:fldChar w:fldCharType="begin"/>
            </w:r>
            <w:r w:rsidR="00293458">
              <w:rPr>
                <w:noProof/>
                <w:webHidden/>
              </w:rPr>
              <w:instrText xml:space="preserve"> PAGEREF _Toc90997492 \h </w:instrText>
            </w:r>
            <w:r w:rsidR="00293458">
              <w:rPr>
                <w:noProof/>
                <w:webHidden/>
              </w:rPr>
            </w:r>
            <w:r w:rsidR="00293458">
              <w:rPr>
                <w:noProof/>
                <w:webHidden/>
              </w:rPr>
              <w:fldChar w:fldCharType="separate"/>
            </w:r>
            <w:r w:rsidR="009260E0">
              <w:rPr>
                <w:noProof/>
                <w:webHidden/>
              </w:rPr>
              <w:t>24</w:t>
            </w:r>
            <w:r w:rsidR="00293458">
              <w:rPr>
                <w:noProof/>
                <w:webHidden/>
              </w:rPr>
              <w:fldChar w:fldCharType="end"/>
            </w:r>
          </w:hyperlink>
        </w:p>
        <w:p w14:paraId="1F119956" w14:textId="17DACB80"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493" w:history="1">
            <w:r w:rsidR="00293458" w:rsidRPr="002B400F">
              <w:rPr>
                <w:rStyle w:val="Hyperlink"/>
                <w:noProof/>
              </w:rPr>
              <w:t>11</w:t>
            </w:r>
            <w:r w:rsidR="00293458">
              <w:rPr>
                <w:rFonts w:asciiTheme="minorHAnsi" w:eastAsiaTheme="minorEastAsia" w:hAnsiTheme="minorHAnsi"/>
                <w:noProof/>
                <w:color w:val="auto"/>
                <w:lang w:eastAsia="pt-BR"/>
              </w:rPr>
              <w:tab/>
            </w:r>
            <w:r w:rsidR="00293458" w:rsidRPr="002B400F">
              <w:rPr>
                <w:rStyle w:val="Hyperlink"/>
                <w:noProof/>
              </w:rPr>
              <w:t>CREDENCIAMENTO</w:t>
            </w:r>
            <w:r w:rsidR="00293458">
              <w:rPr>
                <w:noProof/>
                <w:webHidden/>
              </w:rPr>
              <w:tab/>
            </w:r>
            <w:r w:rsidR="00293458">
              <w:rPr>
                <w:noProof/>
                <w:webHidden/>
              </w:rPr>
              <w:fldChar w:fldCharType="begin"/>
            </w:r>
            <w:r w:rsidR="00293458">
              <w:rPr>
                <w:noProof/>
                <w:webHidden/>
              </w:rPr>
              <w:instrText xml:space="preserve"> PAGEREF _Toc90997493 \h </w:instrText>
            </w:r>
            <w:r w:rsidR="00293458">
              <w:rPr>
                <w:noProof/>
                <w:webHidden/>
              </w:rPr>
            </w:r>
            <w:r w:rsidR="00293458">
              <w:rPr>
                <w:noProof/>
                <w:webHidden/>
              </w:rPr>
              <w:fldChar w:fldCharType="separate"/>
            </w:r>
            <w:r w:rsidR="009260E0">
              <w:rPr>
                <w:noProof/>
                <w:webHidden/>
              </w:rPr>
              <w:t>24</w:t>
            </w:r>
            <w:r w:rsidR="00293458">
              <w:rPr>
                <w:noProof/>
                <w:webHidden/>
              </w:rPr>
              <w:fldChar w:fldCharType="end"/>
            </w:r>
          </w:hyperlink>
        </w:p>
        <w:p w14:paraId="01343EE7" w14:textId="58C50C12"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94" w:history="1">
            <w:r w:rsidR="00293458" w:rsidRPr="002B400F">
              <w:rPr>
                <w:rStyle w:val="Hyperlink"/>
                <w:noProof/>
              </w:rPr>
              <w:t>11.1</w:t>
            </w:r>
            <w:r w:rsidR="00293458">
              <w:rPr>
                <w:rFonts w:asciiTheme="minorHAnsi" w:eastAsiaTheme="minorEastAsia" w:hAnsiTheme="minorHAnsi"/>
                <w:noProof/>
                <w:color w:val="auto"/>
                <w:lang w:eastAsia="pt-BR"/>
              </w:rPr>
              <w:tab/>
            </w:r>
            <w:r w:rsidR="00293458" w:rsidRPr="002B400F">
              <w:rPr>
                <w:rStyle w:val="Hyperlink"/>
                <w:noProof/>
              </w:rPr>
              <w:t>PROCESSO DE EXECUÇÃO</w:t>
            </w:r>
            <w:r w:rsidR="00293458">
              <w:rPr>
                <w:noProof/>
                <w:webHidden/>
              </w:rPr>
              <w:tab/>
            </w:r>
            <w:r w:rsidR="00293458">
              <w:rPr>
                <w:noProof/>
                <w:webHidden/>
              </w:rPr>
              <w:fldChar w:fldCharType="begin"/>
            </w:r>
            <w:r w:rsidR="00293458">
              <w:rPr>
                <w:noProof/>
                <w:webHidden/>
              </w:rPr>
              <w:instrText xml:space="preserve"> PAGEREF _Toc90997494 \h </w:instrText>
            </w:r>
            <w:r w:rsidR="00293458">
              <w:rPr>
                <w:noProof/>
                <w:webHidden/>
              </w:rPr>
            </w:r>
            <w:r w:rsidR="00293458">
              <w:rPr>
                <w:noProof/>
                <w:webHidden/>
              </w:rPr>
              <w:fldChar w:fldCharType="separate"/>
            </w:r>
            <w:r w:rsidR="009260E0">
              <w:rPr>
                <w:noProof/>
                <w:webHidden/>
              </w:rPr>
              <w:t>26</w:t>
            </w:r>
            <w:r w:rsidR="00293458">
              <w:rPr>
                <w:noProof/>
                <w:webHidden/>
              </w:rPr>
              <w:fldChar w:fldCharType="end"/>
            </w:r>
          </w:hyperlink>
        </w:p>
        <w:p w14:paraId="4C5DE268" w14:textId="6FE4577B"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95" w:history="1">
            <w:r w:rsidR="00293458" w:rsidRPr="002B400F">
              <w:rPr>
                <w:rStyle w:val="Hyperlink"/>
                <w:noProof/>
              </w:rPr>
              <w:t>11.2</w:t>
            </w:r>
            <w:r w:rsidR="00293458">
              <w:rPr>
                <w:rFonts w:asciiTheme="minorHAnsi" w:eastAsiaTheme="minorEastAsia" w:hAnsiTheme="minorHAnsi"/>
                <w:noProof/>
                <w:color w:val="auto"/>
                <w:lang w:eastAsia="pt-BR"/>
              </w:rPr>
              <w:tab/>
            </w:r>
            <w:r w:rsidR="00293458" w:rsidRPr="002B400F">
              <w:rPr>
                <w:rStyle w:val="Hyperlink"/>
                <w:noProof/>
              </w:rPr>
              <w:t>VALIDADE</w:t>
            </w:r>
            <w:r w:rsidR="00293458">
              <w:rPr>
                <w:noProof/>
                <w:webHidden/>
              </w:rPr>
              <w:tab/>
            </w:r>
            <w:r w:rsidR="00293458">
              <w:rPr>
                <w:noProof/>
                <w:webHidden/>
              </w:rPr>
              <w:fldChar w:fldCharType="begin"/>
            </w:r>
            <w:r w:rsidR="00293458">
              <w:rPr>
                <w:noProof/>
                <w:webHidden/>
              </w:rPr>
              <w:instrText xml:space="preserve"> PAGEREF _Toc90997495 \h </w:instrText>
            </w:r>
            <w:r w:rsidR="00293458">
              <w:rPr>
                <w:noProof/>
                <w:webHidden/>
              </w:rPr>
            </w:r>
            <w:r w:rsidR="00293458">
              <w:rPr>
                <w:noProof/>
                <w:webHidden/>
              </w:rPr>
              <w:fldChar w:fldCharType="separate"/>
            </w:r>
            <w:r w:rsidR="009260E0">
              <w:rPr>
                <w:noProof/>
                <w:webHidden/>
              </w:rPr>
              <w:t>26</w:t>
            </w:r>
            <w:r w:rsidR="00293458">
              <w:rPr>
                <w:noProof/>
                <w:webHidden/>
              </w:rPr>
              <w:fldChar w:fldCharType="end"/>
            </w:r>
          </w:hyperlink>
        </w:p>
        <w:p w14:paraId="48C39C5A" w14:textId="169261F7"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496" w:history="1">
            <w:r w:rsidR="00293458" w:rsidRPr="002B400F">
              <w:rPr>
                <w:rStyle w:val="Hyperlink"/>
                <w:noProof/>
              </w:rPr>
              <w:t>12</w:t>
            </w:r>
            <w:r w:rsidR="00293458">
              <w:rPr>
                <w:rFonts w:asciiTheme="minorHAnsi" w:eastAsiaTheme="minorEastAsia" w:hAnsiTheme="minorHAnsi"/>
                <w:noProof/>
                <w:color w:val="auto"/>
                <w:lang w:eastAsia="pt-BR"/>
              </w:rPr>
              <w:tab/>
            </w:r>
            <w:r w:rsidR="00293458" w:rsidRPr="002B400F">
              <w:rPr>
                <w:rStyle w:val="Hyperlink"/>
                <w:noProof/>
              </w:rPr>
              <w:t>PRECIFICAÇÃO DE ATIVOS</w:t>
            </w:r>
            <w:r w:rsidR="00293458">
              <w:rPr>
                <w:noProof/>
                <w:webHidden/>
              </w:rPr>
              <w:tab/>
            </w:r>
            <w:r w:rsidR="00293458">
              <w:rPr>
                <w:noProof/>
                <w:webHidden/>
              </w:rPr>
              <w:fldChar w:fldCharType="begin"/>
            </w:r>
            <w:r w:rsidR="00293458">
              <w:rPr>
                <w:noProof/>
                <w:webHidden/>
              </w:rPr>
              <w:instrText xml:space="preserve"> PAGEREF _Toc90997496 \h </w:instrText>
            </w:r>
            <w:r w:rsidR="00293458">
              <w:rPr>
                <w:noProof/>
                <w:webHidden/>
              </w:rPr>
            </w:r>
            <w:r w:rsidR="00293458">
              <w:rPr>
                <w:noProof/>
                <w:webHidden/>
              </w:rPr>
              <w:fldChar w:fldCharType="separate"/>
            </w:r>
            <w:r w:rsidR="009260E0">
              <w:rPr>
                <w:noProof/>
                <w:webHidden/>
              </w:rPr>
              <w:t>27</w:t>
            </w:r>
            <w:r w:rsidR="00293458">
              <w:rPr>
                <w:noProof/>
                <w:webHidden/>
              </w:rPr>
              <w:fldChar w:fldCharType="end"/>
            </w:r>
          </w:hyperlink>
        </w:p>
        <w:p w14:paraId="13521592" w14:textId="707BE4CB"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97" w:history="1">
            <w:r w:rsidR="00293458" w:rsidRPr="002B400F">
              <w:rPr>
                <w:rStyle w:val="Hyperlink"/>
                <w:noProof/>
              </w:rPr>
              <w:t>12.1</w:t>
            </w:r>
            <w:r w:rsidR="00293458">
              <w:rPr>
                <w:rFonts w:asciiTheme="minorHAnsi" w:eastAsiaTheme="minorEastAsia" w:hAnsiTheme="minorHAnsi"/>
                <w:noProof/>
                <w:color w:val="auto"/>
                <w:lang w:eastAsia="pt-BR"/>
              </w:rPr>
              <w:tab/>
            </w:r>
            <w:r w:rsidR="00293458" w:rsidRPr="002B400F">
              <w:rPr>
                <w:rStyle w:val="Hyperlink"/>
                <w:noProof/>
              </w:rPr>
              <w:t>METODOLOGIA</w:t>
            </w:r>
            <w:r w:rsidR="00293458">
              <w:rPr>
                <w:noProof/>
                <w:webHidden/>
              </w:rPr>
              <w:tab/>
            </w:r>
            <w:r w:rsidR="00293458">
              <w:rPr>
                <w:noProof/>
                <w:webHidden/>
              </w:rPr>
              <w:fldChar w:fldCharType="begin"/>
            </w:r>
            <w:r w:rsidR="00293458">
              <w:rPr>
                <w:noProof/>
                <w:webHidden/>
              </w:rPr>
              <w:instrText xml:space="preserve"> PAGEREF _Toc90997497 \h </w:instrText>
            </w:r>
            <w:r w:rsidR="00293458">
              <w:rPr>
                <w:noProof/>
                <w:webHidden/>
              </w:rPr>
            </w:r>
            <w:r w:rsidR="00293458">
              <w:rPr>
                <w:noProof/>
                <w:webHidden/>
              </w:rPr>
              <w:fldChar w:fldCharType="separate"/>
            </w:r>
            <w:r w:rsidR="009260E0">
              <w:rPr>
                <w:noProof/>
                <w:webHidden/>
              </w:rPr>
              <w:t>27</w:t>
            </w:r>
            <w:r w:rsidR="00293458">
              <w:rPr>
                <w:noProof/>
                <w:webHidden/>
              </w:rPr>
              <w:fldChar w:fldCharType="end"/>
            </w:r>
          </w:hyperlink>
        </w:p>
        <w:p w14:paraId="4F123298" w14:textId="2869F3E9" w:rsidR="00293458" w:rsidRDefault="00C07AFB">
          <w:pPr>
            <w:pStyle w:val="Sumrio3"/>
            <w:tabs>
              <w:tab w:val="left" w:pos="1320"/>
              <w:tab w:val="right" w:leader="dot" w:pos="9061"/>
            </w:tabs>
            <w:rPr>
              <w:rFonts w:asciiTheme="minorHAnsi" w:eastAsiaTheme="minorEastAsia" w:hAnsiTheme="minorHAnsi"/>
              <w:noProof/>
              <w:color w:val="auto"/>
              <w:lang w:eastAsia="pt-BR"/>
            </w:rPr>
          </w:pPr>
          <w:hyperlink w:anchor="_Toc90997498" w:history="1">
            <w:r w:rsidR="00293458" w:rsidRPr="002B400F">
              <w:rPr>
                <w:rStyle w:val="Hyperlink"/>
                <w:noProof/>
              </w:rPr>
              <w:t>12.1.1</w:t>
            </w:r>
            <w:r w:rsidR="00293458">
              <w:rPr>
                <w:rFonts w:asciiTheme="minorHAnsi" w:eastAsiaTheme="minorEastAsia" w:hAnsiTheme="minorHAnsi"/>
                <w:noProof/>
                <w:color w:val="auto"/>
                <w:lang w:eastAsia="pt-BR"/>
              </w:rPr>
              <w:tab/>
            </w:r>
            <w:r w:rsidR="00293458" w:rsidRPr="002B400F">
              <w:rPr>
                <w:rStyle w:val="Hyperlink"/>
                <w:noProof/>
              </w:rPr>
              <w:t>MARCAÇÕES</w:t>
            </w:r>
            <w:r w:rsidR="00293458">
              <w:rPr>
                <w:noProof/>
                <w:webHidden/>
              </w:rPr>
              <w:tab/>
            </w:r>
            <w:r w:rsidR="00293458">
              <w:rPr>
                <w:noProof/>
                <w:webHidden/>
              </w:rPr>
              <w:fldChar w:fldCharType="begin"/>
            </w:r>
            <w:r w:rsidR="00293458">
              <w:rPr>
                <w:noProof/>
                <w:webHidden/>
              </w:rPr>
              <w:instrText xml:space="preserve"> PAGEREF _Toc90997498 \h </w:instrText>
            </w:r>
            <w:r w:rsidR="00293458">
              <w:rPr>
                <w:noProof/>
                <w:webHidden/>
              </w:rPr>
            </w:r>
            <w:r w:rsidR="00293458">
              <w:rPr>
                <w:noProof/>
                <w:webHidden/>
              </w:rPr>
              <w:fldChar w:fldCharType="separate"/>
            </w:r>
            <w:r w:rsidR="009260E0">
              <w:rPr>
                <w:noProof/>
                <w:webHidden/>
              </w:rPr>
              <w:t>27</w:t>
            </w:r>
            <w:r w:rsidR="00293458">
              <w:rPr>
                <w:noProof/>
                <w:webHidden/>
              </w:rPr>
              <w:fldChar w:fldCharType="end"/>
            </w:r>
          </w:hyperlink>
        </w:p>
        <w:p w14:paraId="082BBFAC" w14:textId="44C5DF38"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499" w:history="1">
            <w:r w:rsidR="00293458" w:rsidRPr="002B400F">
              <w:rPr>
                <w:rStyle w:val="Hyperlink"/>
                <w:noProof/>
              </w:rPr>
              <w:t>12.2</w:t>
            </w:r>
            <w:r w:rsidR="00293458">
              <w:rPr>
                <w:rFonts w:asciiTheme="minorHAnsi" w:eastAsiaTheme="minorEastAsia" w:hAnsiTheme="minorHAnsi"/>
                <w:noProof/>
                <w:color w:val="auto"/>
                <w:lang w:eastAsia="pt-BR"/>
              </w:rPr>
              <w:tab/>
            </w:r>
            <w:r w:rsidR="00293458" w:rsidRPr="002B400F">
              <w:rPr>
                <w:rStyle w:val="Hyperlink"/>
                <w:noProof/>
              </w:rPr>
              <w:t>CRITÉRIOS DE PRECIFICAÇÃO</w:t>
            </w:r>
            <w:r w:rsidR="00293458">
              <w:rPr>
                <w:noProof/>
                <w:webHidden/>
              </w:rPr>
              <w:tab/>
            </w:r>
            <w:r w:rsidR="00293458">
              <w:rPr>
                <w:noProof/>
                <w:webHidden/>
              </w:rPr>
              <w:fldChar w:fldCharType="begin"/>
            </w:r>
            <w:r w:rsidR="00293458">
              <w:rPr>
                <w:noProof/>
                <w:webHidden/>
              </w:rPr>
              <w:instrText xml:space="preserve"> PAGEREF _Toc90997499 \h </w:instrText>
            </w:r>
            <w:r w:rsidR="00293458">
              <w:rPr>
                <w:noProof/>
                <w:webHidden/>
              </w:rPr>
            </w:r>
            <w:r w:rsidR="00293458">
              <w:rPr>
                <w:noProof/>
                <w:webHidden/>
              </w:rPr>
              <w:fldChar w:fldCharType="separate"/>
            </w:r>
            <w:r w:rsidR="009260E0">
              <w:rPr>
                <w:noProof/>
                <w:webHidden/>
              </w:rPr>
              <w:t>27</w:t>
            </w:r>
            <w:r w:rsidR="00293458">
              <w:rPr>
                <w:noProof/>
                <w:webHidden/>
              </w:rPr>
              <w:fldChar w:fldCharType="end"/>
            </w:r>
          </w:hyperlink>
        </w:p>
        <w:p w14:paraId="1164E3C8" w14:textId="1A54B049" w:rsidR="00293458" w:rsidRDefault="00C07AFB">
          <w:pPr>
            <w:pStyle w:val="Sumrio3"/>
            <w:tabs>
              <w:tab w:val="left" w:pos="1320"/>
              <w:tab w:val="right" w:leader="dot" w:pos="9061"/>
            </w:tabs>
            <w:rPr>
              <w:rFonts w:asciiTheme="minorHAnsi" w:eastAsiaTheme="minorEastAsia" w:hAnsiTheme="minorHAnsi"/>
              <w:noProof/>
              <w:color w:val="auto"/>
              <w:lang w:eastAsia="pt-BR"/>
            </w:rPr>
          </w:pPr>
          <w:hyperlink w:anchor="_Toc90997500" w:history="1">
            <w:r w:rsidR="00293458" w:rsidRPr="002B400F">
              <w:rPr>
                <w:rStyle w:val="Hyperlink"/>
                <w:noProof/>
              </w:rPr>
              <w:t>12.2.1</w:t>
            </w:r>
            <w:r w:rsidR="00293458">
              <w:rPr>
                <w:rFonts w:asciiTheme="minorHAnsi" w:eastAsiaTheme="minorEastAsia" w:hAnsiTheme="minorHAnsi"/>
                <w:noProof/>
                <w:color w:val="auto"/>
                <w:lang w:eastAsia="pt-BR"/>
              </w:rPr>
              <w:tab/>
            </w:r>
            <w:r w:rsidR="00293458" w:rsidRPr="002B400F">
              <w:rPr>
                <w:rStyle w:val="Hyperlink"/>
                <w:noProof/>
              </w:rPr>
              <w:t>TÍTULOS PÚBLICOS FEDERAIS</w:t>
            </w:r>
            <w:r w:rsidR="00293458">
              <w:rPr>
                <w:noProof/>
                <w:webHidden/>
              </w:rPr>
              <w:tab/>
            </w:r>
            <w:r w:rsidR="00293458">
              <w:rPr>
                <w:noProof/>
                <w:webHidden/>
              </w:rPr>
              <w:fldChar w:fldCharType="begin"/>
            </w:r>
            <w:r w:rsidR="00293458">
              <w:rPr>
                <w:noProof/>
                <w:webHidden/>
              </w:rPr>
              <w:instrText xml:space="preserve"> PAGEREF _Toc90997500 \h </w:instrText>
            </w:r>
            <w:r w:rsidR="00293458">
              <w:rPr>
                <w:noProof/>
                <w:webHidden/>
              </w:rPr>
            </w:r>
            <w:r w:rsidR="00293458">
              <w:rPr>
                <w:noProof/>
                <w:webHidden/>
              </w:rPr>
              <w:fldChar w:fldCharType="separate"/>
            </w:r>
            <w:r w:rsidR="009260E0">
              <w:rPr>
                <w:noProof/>
                <w:webHidden/>
              </w:rPr>
              <w:t>27</w:t>
            </w:r>
            <w:r w:rsidR="00293458">
              <w:rPr>
                <w:noProof/>
                <w:webHidden/>
              </w:rPr>
              <w:fldChar w:fldCharType="end"/>
            </w:r>
          </w:hyperlink>
        </w:p>
        <w:p w14:paraId="66832F45" w14:textId="3AD7A80F" w:rsidR="00293458" w:rsidRDefault="00C07AFB">
          <w:pPr>
            <w:pStyle w:val="Sumrio3"/>
            <w:tabs>
              <w:tab w:val="left" w:pos="1320"/>
              <w:tab w:val="right" w:leader="dot" w:pos="9061"/>
            </w:tabs>
            <w:rPr>
              <w:rFonts w:asciiTheme="minorHAnsi" w:eastAsiaTheme="minorEastAsia" w:hAnsiTheme="minorHAnsi"/>
              <w:noProof/>
              <w:color w:val="auto"/>
              <w:lang w:eastAsia="pt-BR"/>
            </w:rPr>
          </w:pPr>
          <w:hyperlink w:anchor="_Toc90997501" w:history="1">
            <w:r w:rsidR="00293458" w:rsidRPr="002B400F">
              <w:rPr>
                <w:rStyle w:val="Hyperlink"/>
                <w:noProof/>
              </w:rPr>
              <w:t>12.2.2</w:t>
            </w:r>
            <w:r w:rsidR="00293458">
              <w:rPr>
                <w:rFonts w:asciiTheme="minorHAnsi" w:eastAsiaTheme="minorEastAsia" w:hAnsiTheme="minorHAnsi"/>
                <w:noProof/>
                <w:color w:val="auto"/>
                <w:lang w:eastAsia="pt-BR"/>
              </w:rPr>
              <w:tab/>
            </w:r>
            <w:r w:rsidR="00293458" w:rsidRPr="002B400F">
              <w:rPr>
                <w:rStyle w:val="Hyperlink"/>
                <w:noProof/>
              </w:rPr>
              <w:t>FUNDOS DE INVESTIMENTOS</w:t>
            </w:r>
            <w:r w:rsidR="00293458">
              <w:rPr>
                <w:noProof/>
                <w:webHidden/>
              </w:rPr>
              <w:tab/>
            </w:r>
            <w:r w:rsidR="00293458">
              <w:rPr>
                <w:noProof/>
                <w:webHidden/>
              </w:rPr>
              <w:fldChar w:fldCharType="begin"/>
            </w:r>
            <w:r w:rsidR="00293458">
              <w:rPr>
                <w:noProof/>
                <w:webHidden/>
              </w:rPr>
              <w:instrText xml:space="preserve"> PAGEREF _Toc90997501 \h </w:instrText>
            </w:r>
            <w:r w:rsidR="00293458">
              <w:rPr>
                <w:noProof/>
                <w:webHidden/>
              </w:rPr>
            </w:r>
            <w:r w:rsidR="00293458">
              <w:rPr>
                <w:noProof/>
                <w:webHidden/>
              </w:rPr>
              <w:fldChar w:fldCharType="separate"/>
            </w:r>
            <w:r w:rsidR="009260E0">
              <w:rPr>
                <w:noProof/>
                <w:webHidden/>
              </w:rPr>
              <w:t>30</w:t>
            </w:r>
            <w:r w:rsidR="00293458">
              <w:rPr>
                <w:noProof/>
                <w:webHidden/>
              </w:rPr>
              <w:fldChar w:fldCharType="end"/>
            </w:r>
          </w:hyperlink>
        </w:p>
        <w:p w14:paraId="51B94C12" w14:textId="4CFD0982" w:rsidR="00293458" w:rsidRDefault="00C07AFB">
          <w:pPr>
            <w:pStyle w:val="Sumrio3"/>
            <w:tabs>
              <w:tab w:val="left" w:pos="1320"/>
              <w:tab w:val="right" w:leader="dot" w:pos="9061"/>
            </w:tabs>
            <w:rPr>
              <w:rFonts w:asciiTheme="minorHAnsi" w:eastAsiaTheme="minorEastAsia" w:hAnsiTheme="minorHAnsi"/>
              <w:noProof/>
              <w:color w:val="auto"/>
              <w:lang w:eastAsia="pt-BR"/>
            </w:rPr>
          </w:pPr>
          <w:hyperlink w:anchor="_Toc90997502" w:history="1">
            <w:r w:rsidR="00293458" w:rsidRPr="002B400F">
              <w:rPr>
                <w:rStyle w:val="Hyperlink"/>
                <w:noProof/>
              </w:rPr>
              <w:t>12.2.3</w:t>
            </w:r>
            <w:r w:rsidR="00293458">
              <w:rPr>
                <w:rFonts w:asciiTheme="minorHAnsi" w:eastAsiaTheme="minorEastAsia" w:hAnsiTheme="minorHAnsi"/>
                <w:noProof/>
                <w:color w:val="auto"/>
                <w:lang w:eastAsia="pt-BR"/>
              </w:rPr>
              <w:tab/>
            </w:r>
            <w:r w:rsidR="00293458" w:rsidRPr="002B400F">
              <w:rPr>
                <w:rStyle w:val="Hyperlink"/>
                <w:noProof/>
              </w:rPr>
              <w:t>TÍTULOS PRIVADOS</w:t>
            </w:r>
            <w:r w:rsidR="00293458">
              <w:rPr>
                <w:noProof/>
                <w:webHidden/>
              </w:rPr>
              <w:tab/>
            </w:r>
            <w:r w:rsidR="00293458">
              <w:rPr>
                <w:noProof/>
                <w:webHidden/>
              </w:rPr>
              <w:fldChar w:fldCharType="begin"/>
            </w:r>
            <w:r w:rsidR="00293458">
              <w:rPr>
                <w:noProof/>
                <w:webHidden/>
              </w:rPr>
              <w:instrText xml:space="preserve"> PAGEREF _Toc90997502 \h </w:instrText>
            </w:r>
            <w:r w:rsidR="00293458">
              <w:rPr>
                <w:noProof/>
                <w:webHidden/>
              </w:rPr>
            </w:r>
            <w:r w:rsidR="00293458">
              <w:rPr>
                <w:noProof/>
                <w:webHidden/>
              </w:rPr>
              <w:fldChar w:fldCharType="separate"/>
            </w:r>
            <w:r w:rsidR="009260E0">
              <w:rPr>
                <w:noProof/>
                <w:webHidden/>
              </w:rPr>
              <w:t>31</w:t>
            </w:r>
            <w:r w:rsidR="00293458">
              <w:rPr>
                <w:noProof/>
                <w:webHidden/>
              </w:rPr>
              <w:fldChar w:fldCharType="end"/>
            </w:r>
          </w:hyperlink>
        </w:p>
        <w:p w14:paraId="4CA83EDB" w14:textId="58450E7A"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503" w:history="1">
            <w:r w:rsidR="00293458" w:rsidRPr="002B400F">
              <w:rPr>
                <w:rStyle w:val="Hyperlink"/>
                <w:noProof/>
              </w:rPr>
              <w:t>12.3</w:t>
            </w:r>
            <w:r w:rsidR="00293458">
              <w:rPr>
                <w:rFonts w:asciiTheme="minorHAnsi" w:eastAsiaTheme="minorEastAsia" w:hAnsiTheme="minorHAnsi"/>
                <w:noProof/>
                <w:color w:val="auto"/>
                <w:lang w:eastAsia="pt-BR"/>
              </w:rPr>
              <w:tab/>
            </w:r>
            <w:r w:rsidR="00293458" w:rsidRPr="002B400F">
              <w:rPr>
                <w:rStyle w:val="Hyperlink"/>
                <w:noProof/>
              </w:rPr>
              <w:t>FONTES PRIMÁRIAS DE INFORMAÇÕES</w:t>
            </w:r>
            <w:r w:rsidR="00293458">
              <w:rPr>
                <w:noProof/>
                <w:webHidden/>
              </w:rPr>
              <w:tab/>
            </w:r>
            <w:r w:rsidR="00293458">
              <w:rPr>
                <w:noProof/>
                <w:webHidden/>
              </w:rPr>
              <w:fldChar w:fldCharType="begin"/>
            </w:r>
            <w:r w:rsidR="00293458">
              <w:rPr>
                <w:noProof/>
                <w:webHidden/>
              </w:rPr>
              <w:instrText xml:space="preserve"> PAGEREF _Toc90997503 \h </w:instrText>
            </w:r>
            <w:r w:rsidR="00293458">
              <w:rPr>
                <w:noProof/>
                <w:webHidden/>
              </w:rPr>
            </w:r>
            <w:r w:rsidR="00293458">
              <w:rPr>
                <w:noProof/>
                <w:webHidden/>
              </w:rPr>
              <w:fldChar w:fldCharType="separate"/>
            </w:r>
            <w:r w:rsidR="009260E0">
              <w:rPr>
                <w:noProof/>
                <w:webHidden/>
              </w:rPr>
              <w:t>31</w:t>
            </w:r>
            <w:r w:rsidR="00293458">
              <w:rPr>
                <w:noProof/>
                <w:webHidden/>
              </w:rPr>
              <w:fldChar w:fldCharType="end"/>
            </w:r>
          </w:hyperlink>
        </w:p>
        <w:p w14:paraId="6D803C1C" w14:textId="685AF068"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504" w:history="1">
            <w:r w:rsidR="00293458" w:rsidRPr="002B400F">
              <w:rPr>
                <w:rStyle w:val="Hyperlink"/>
                <w:noProof/>
              </w:rPr>
              <w:t>13</w:t>
            </w:r>
            <w:r w:rsidR="00293458">
              <w:rPr>
                <w:rFonts w:asciiTheme="minorHAnsi" w:eastAsiaTheme="minorEastAsia" w:hAnsiTheme="minorHAnsi"/>
                <w:noProof/>
                <w:color w:val="auto"/>
                <w:lang w:eastAsia="pt-BR"/>
              </w:rPr>
              <w:tab/>
            </w:r>
            <w:r w:rsidR="00293458" w:rsidRPr="002B400F">
              <w:rPr>
                <w:rStyle w:val="Hyperlink"/>
                <w:noProof/>
              </w:rPr>
              <w:t>POLÍTICA DE ACOMPANHAMENTO E AVALIAÇÃO</w:t>
            </w:r>
            <w:r w:rsidR="00293458">
              <w:rPr>
                <w:noProof/>
                <w:webHidden/>
              </w:rPr>
              <w:tab/>
            </w:r>
            <w:r w:rsidR="00293458">
              <w:rPr>
                <w:noProof/>
                <w:webHidden/>
              </w:rPr>
              <w:fldChar w:fldCharType="begin"/>
            </w:r>
            <w:r w:rsidR="00293458">
              <w:rPr>
                <w:noProof/>
                <w:webHidden/>
              </w:rPr>
              <w:instrText xml:space="preserve"> PAGEREF _Toc90997504 \h </w:instrText>
            </w:r>
            <w:r w:rsidR="00293458">
              <w:rPr>
                <w:noProof/>
                <w:webHidden/>
              </w:rPr>
            </w:r>
            <w:r w:rsidR="00293458">
              <w:rPr>
                <w:noProof/>
                <w:webHidden/>
              </w:rPr>
              <w:fldChar w:fldCharType="separate"/>
            </w:r>
            <w:r w:rsidR="009260E0">
              <w:rPr>
                <w:noProof/>
                <w:webHidden/>
              </w:rPr>
              <w:t>32</w:t>
            </w:r>
            <w:r w:rsidR="00293458">
              <w:rPr>
                <w:noProof/>
                <w:webHidden/>
              </w:rPr>
              <w:fldChar w:fldCharType="end"/>
            </w:r>
          </w:hyperlink>
        </w:p>
        <w:p w14:paraId="6B8EF53B" w14:textId="4D053807"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505" w:history="1">
            <w:r w:rsidR="00293458" w:rsidRPr="002B400F">
              <w:rPr>
                <w:rStyle w:val="Hyperlink"/>
                <w:noProof/>
              </w:rPr>
              <w:t>14</w:t>
            </w:r>
            <w:r w:rsidR="00293458">
              <w:rPr>
                <w:rFonts w:asciiTheme="minorHAnsi" w:eastAsiaTheme="minorEastAsia" w:hAnsiTheme="minorHAnsi"/>
                <w:noProof/>
                <w:color w:val="auto"/>
                <w:lang w:eastAsia="pt-BR"/>
              </w:rPr>
              <w:tab/>
            </w:r>
            <w:r w:rsidR="00293458" w:rsidRPr="002B400F">
              <w:rPr>
                <w:rStyle w:val="Hyperlink"/>
                <w:noProof/>
              </w:rPr>
              <w:t>PLANO DE CONTINGÊNCIA</w:t>
            </w:r>
            <w:r w:rsidR="00293458">
              <w:rPr>
                <w:noProof/>
                <w:webHidden/>
              </w:rPr>
              <w:tab/>
            </w:r>
            <w:r w:rsidR="00293458">
              <w:rPr>
                <w:noProof/>
                <w:webHidden/>
              </w:rPr>
              <w:fldChar w:fldCharType="begin"/>
            </w:r>
            <w:r w:rsidR="00293458">
              <w:rPr>
                <w:noProof/>
                <w:webHidden/>
              </w:rPr>
              <w:instrText xml:space="preserve"> PAGEREF _Toc90997505 \h </w:instrText>
            </w:r>
            <w:r w:rsidR="00293458">
              <w:rPr>
                <w:noProof/>
                <w:webHidden/>
              </w:rPr>
            </w:r>
            <w:r w:rsidR="00293458">
              <w:rPr>
                <w:noProof/>
                <w:webHidden/>
              </w:rPr>
              <w:fldChar w:fldCharType="separate"/>
            </w:r>
            <w:r w:rsidR="009260E0">
              <w:rPr>
                <w:noProof/>
                <w:webHidden/>
              </w:rPr>
              <w:t>33</w:t>
            </w:r>
            <w:r w:rsidR="00293458">
              <w:rPr>
                <w:noProof/>
                <w:webHidden/>
              </w:rPr>
              <w:fldChar w:fldCharType="end"/>
            </w:r>
          </w:hyperlink>
        </w:p>
        <w:p w14:paraId="6662CA66" w14:textId="3CB6F03F"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506" w:history="1">
            <w:r w:rsidR="00293458" w:rsidRPr="002B400F">
              <w:rPr>
                <w:rStyle w:val="Hyperlink"/>
                <w:noProof/>
              </w:rPr>
              <w:t>14.1</w:t>
            </w:r>
            <w:r w:rsidR="00293458">
              <w:rPr>
                <w:rFonts w:asciiTheme="minorHAnsi" w:eastAsiaTheme="minorEastAsia" w:hAnsiTheme="minorHAnsi"/>
                <w:noProof/>
                <w:color w:val="auto"/>
                <w:lang w:eastAsia="pt-BR"/>
              </w:rPr>
              <w:tab/>
            </w:r>
            <w:r w:rsidR="00293458" w:rsidRPr="002B400F">
              <w:rPr>
                <w:rStyle w:val="Hyperlink"/>
                <w:noProof/>
              </w:rPr>
              <w:t>EXPOSIÇÃO A RISCO</w:t>
            </w:r>
            <w:r w:rsidR="00293458">
              <w:rPr>
                <w:noProof/>
                <w:webHidden/>
              </w:rPr>
              <w:tab/>
            </w:r>
            <w:r w:rsidR="00293458">
              <w:rPr>
                <w:noProof/>
                <w:webHidden/>
              </w:rPr>
              <w:fldChar w:fldCharType="begin"/>
            </w:r>
            <w:r w:rsidR="00293458">
              <w:rPr>
                <w:noProof/>
                <w:webHidden/>
              </w:rPr>
              <w:instrText xml:space="preserve"> PAGEREF _Toc90997506 \h </w:instrText>
            </w:r>
            <w:r w:rsidR="00293458">
              <w:rPr>
                <w:noProof/>
                <w:webHidden/>
              </w:rPr>
            </w:r>
            <w:r w:rsidR="00293458">
              <w:rPr>
                <w:noProof/>
                <w:webHidden/>
              </w:rPr>
              <w:fldChar w:fldCharType="separate"/>
            </w:r>
            <w:r w:rsidR="009260E0">
              <w:rPr>
                <w:noProof/>
                <w:webHidden/>
              </w:rPr>
              <w:t>33</w:t>
            </w:r>
            <w:r w:rsidR="00293458">
              <w:rPr>
                <w:noProof/>
                <w:webHidden/>
              </w:rPr>
              <w:fldChar w:fldCharType="end"/>
            </w:r>
          </w:hyperlink>
        </w:p>
        <w:p w14:paraId="76FB8F88" w14:textId="79043A9F" w:rsidR="00293458" w:rsidRDefault="00C07AFB">
          <w:pPr>
            <w:pStyle w:val="Sumrio2"/>
            <w:tabs>
              <w:tab w:val="left" w:pos="880"/>
              <w:tab w:val="right" w:leader="dot" w:pos="9061"/>
            </w:tabs>
            <w:rPr>
              <w:rFonts w:asciiTheme="minorHAnsi" w:eastAsiaTheme="minorEastAsia" w:hAnsiTheme="minorHAnsi"/>
              <w:noProof/>
              <w:color w:val="auto"/>
              <w:lang w:eastAsia="pt-BR"/>
            </w:rPr>
          </w:pPr>
          <w:hyperlink w:anchor="_Toc90997507" w:history="1">
            <w:r w:rsidR="00293458" w:rsidRPr="002B400F">
              <w:rPr>
                <w:rStyle w:val="Hyperlink"/>
                <w:noProof/>
              </w:rPr>
              <w:t>14.2</w:t>
            </w:r>
            <w:r w:rsidR="00293458">
              <w:rPr>
                <w:rFonts w:asciiTheme="minorHAnsi" w:eastAsiaTheme="minorEastAsia" w:hAnsiTheme="minorHAnsi"/>
                <w:noProof/>
                <w:color w:val="auto"/>
                <w:lang w:eastAsia="pt-BR"/>
              </w:rPr>
              <w:tab/>
            </w:r>
            <w:r w:rsidR="00293458" w:rsidRPr="002B400F">
              <w:rPr>
                <w:rStyle w:val="Hyperlink"/>
                <w:noProof/>
              </w:rPr>
              <w:t>POTENCIAIS PERDAS DOS RECURSOS</w:t>
            </w:r>
            <w:r w:rsidR="00293458">
              <w:rPr>
                <w:noProof/>
                <w:webHidden/>
              </w:rPr>
              <w:tab/>
            </w:r>
            <w:r w:rsidR="00293458">
              <w:rPr>
                <w:noProof/>
                <w:webHidden/>
              </w:rPr>
              <w:fldChar w:fldCharType="begin"/>
            </w:r>
            <w:r w:rsidR="00293458">
              <w:rPr>
                <w:noProof/>
                <w:webHidden/>
              </w:rPr>
              <w:instrText xml:space="preserve"> PAGEREF _Toc90997507 \h </w:instrText>
            </w:r>
            <w:r w:rsidR="00293458">
              <w:rPr>
                <w:noProof/>
                <w:webHidden/>
              </w:rPr>
            </w:r>
            <w:r w:rsidR="00293458">
              <w:rPr>
                <w:noProof/>
                <w:webHidden/>
              </w:rPr>
              <w:fldChar w:fldCharType="separate"/>
            </w:r>
            <w:r w:rsidR="009260E0">
              <w:rPr>
                <w:noProof/>
                <w:webHidden/>
              </w:rPr>
              <w:t>34</w:t>
            </w:r>
            <w:r w:rsidR="00293458">
              <w:rPr>
                <w:noProof/>
                <w:webHidden/>
              </w:rPr>
              <w:fldChar w:fldCharType="end"/>
            </w:r>
          </w:hyperlink>
        </w:p>
        <w:p w14:paraId="2BBE4480" w14:textId="01333CEF"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508" w:history="1">
            <w:r w:rsidR="00293458" w:rsidRPr="002B400F">
              <w:rPr>
                <w:rStyle w:val="Hyperlink"/>
                <w:noProof/>
              </w:rPr>
              <w:t>15</w:t>
            </w:r>
            <w:r w:rsidR="00293458">
              <w:rPr>
                <w:rFonts w:asciiTheme="minorHAnsi" w:eastAsiaTheme="minorEastAsia" w:hAnsiTheme="minorHAnsi"/>
                <w:noProof/>
                <w:color w:val="auto"/>
                <w:lang w:eastAsia="pt-BR"/>
              </w:rPr>
              <w:tab/>
            </w:r>
            <w:r w:rsidR="00293458" w:rsidRPr="002B400F">
              <w:rPr>
                <w:rStyle w:val="Hyperlink"/>
                <w:noProof/>
              </w:rPr>
              <w:t>CONTROLES INTERNOS</w:t>
            </w:r>
            <w:r w:rsidR="00293458">
              <w:rPr>
                <w:noProof/>
                <w:webHidden/>
              </w:rPr>
              <w:tab/>
            </w:r>
            <w:r w:rsidR="00293458">
              <w:rPr>
                <w:noProof/>
                <w:webHidden/>
              </w:rPr>
              <w:fldChar w:fldCharType="begin"/>
            </w:r>
            <w:r w:rsidR="00293458">
              <w:rPr>
                <w:noProof/>
                <w:webHidden/>
              </w:rPr>
              <w:instrText xml:space="preserve"> PAGEREF _Toc90997508 \h </w:instrText>
            </w:r>
            <w:r w:rsidR="00293458">
              <w:rPr>
                <w:noProof/>
                <w:webHidden/>
              </w:rPr>
            </w:r>
            <w:r w:rsidR="00293458">
              <w:rPr>
                <w:noProof/>
                <w:webHidden/>
              </w:rPr>
              <w:fldChar w:fldCharType="separate"/>
            </w:r>
            <w:r w:rsidR="009260E0">
              <w:rPr>
                <w:noProof/>
                <w:webHidden/>
              </w:rPr>
              <w:t>34</w:t>
            </w:r>
            <w:r w:rsidR="00293458">
              <w:rPr>
                <w:noProof/>
                <w:webHidden/>
              </w:rPr>
              <w:fldChar w:fldCharType="end"/>
            </w:r>
          </w:hyperlink>
        </w:p>
        <w:p w14:paraId="3D56B226" w14:textId="3F7D2BAD" w:rsidR="00293458" w:rsidRDefault="00C07AFB">
          <w:pPr>
            <w:pStyle w:val="Sumrio1"/>
            <w:tabs>
              <w:tab w:val="left" w:pos="660"/>
              <w:tab w:val="right" w:leader="dot" w:pos="9061"/>
            </w:tabs>
            <w:rPr>
              <w:rFonts w:asciiTheme="minorHAnsi" w:eastAsiaTheme="minorEastAsia" w:hAnsiTheme="minorHAnsi"/>
              <w:noProof/>
              <w:color w:val="auto"/>
              <w:lang w:eastAsia="pt-BR"/>
            </w:rPr>
          </w:pPr>
          <w:hyperlink w:anchor="_Toc90997509" w:history="1">
            <w:r w:rsidR="00293458" w:rsidRPr="002B400F">
              <w:rPr>
                <w:rStyle w:val="Hyperlink"/>
                <w:noProof/>
              </w:rPr>
              <w:t>16</w:t>
            </w:r>
            <w:r w:rsidR="00293458">
              <w:rPr>
                <w:rFonts w:asciiTheme="minorHAnsi" w:eastAsiaTheme="minorEastAsia" w:hAnsiTheme="minorHAnsi"/>
                <w:noProof/>
                <w:color w:val="auto"/>
                <w:lang w:eastAsia="pt-BR"/>
              </w:rPr>
              <w:tab/>
            </w:r>
            <w:r w:rsidR="00293458" w:rsidRPr="002B400F">
              <w:rPr>
                <w:rStyle w:val="Hyperlink"/>
                <w:noProof/>
              </w:rPr>
              <w:t>DISPOSIÇÕES GERAIS</w:t>
            </w:r>
            <w:r w:rsidR="00293458">
              <w:rPr>
                <w:noProof/>
                <w:webHidden/>
              </w:rPr>
              <w:tab/>
            </w:r>
            <w:r w:rsidR="00293458">
              <w:rPr>
                <w:noProof/>
                <w:webHidden/>
              </w:rPr>
              <w:fldChar w:fldCharType="begin"/>
            </w:r>
            <w:r w:rsidR="00293458">
              <w:rPr>
                <w:noProof/>
                <w:webHidden/>
              </w:rPr>
              <w:instrText xml:space="preserve"> PAGEREF _Toc90997509 \h </w:instrText>
            </w:r>
            <w:r w:rsidR="00293458">
              <w:rPr>
                <w:noProof/>
                <w:webHidden/>
              </w:rPr>
            </w:r>
            <w:r w:rsidR="00293458">
              <w:rPr>
                <w:noProof/>
                <w:webHidden/>
              </w:rPr>
              <w:fldChar w:fldCharType="separate"/>
            </w:r>
            <w:r w:rsidR="009260E0">
              <w:rPr>
                <w:noProof/>
                <w:webHidden/>
              </w:rPr>
              <w:t>35</w:t>
            </w:r>
            <w:r w:rsidR="00293458">
              <w:rPr>
                <w:noProof/>
                <w:webHidden/>
              </w:rPr>
              <w:fldChar w:fldCharType="end"/>
            </w:r>
          </w:hyperlink>
        </w:p>
        <w:p w14:paraId="59E1CF7D" w14:textId="41FD38DE" w:rsidR="00CC3E23" w:rsidRPr="005B5E5B" w:rsidRDefault="00CC3E23" w:rsidP="005B5E5B">
          <w:pPr>
            <w:spacing w:beforeLines="120" w:before="288" w:after="0" w:line="240" w:lineRule="auto"/>
            <w:rPr>
              <w:bCs/>
              <w:sz w:val="12"/>
              <w:szCs w:val="16"/>
            </w:rPr>
          </w:pPr>
          <w:r w:rsidRPr="005B5E5B">
            <w:rPr>
              <w:bCs/>
              <w:sz w:val="8"/>
              <w:szCs w:val="16"/>
            </w:rPr>
            <w:fldChar w:fldCharType="end"/>
          </w:r>
          <w:r w:rsidR="002F635C" w:rsidRPr="005B5E5B">
            <w:rPr>
              <w:bCs/>
              <w:sz w:val="12"/>
              <w:szCs w:val="16"/>
            </w:rPr>
            <w:br w:type="page"/>
          </w:r>
        </w:p>
      </w:sdtContent>
    </w:sdt>
    <w:p w14:paraId="46E1C46E" w14:textId="77777777" w:rsidR="00CB1E8E" w:rsidRPr="00AC3B61" w:rsidRDefault="00CB1E8E" w:rsidP="00AE51F2">
      <w:pPr>
        <w:pStyle w:val="Ttulo1"/>
        <w:spacing w:before="360"/>
        <w:rPr>
          <w:color w:val="auto"/>
        </w:rPr>
      </w:pPr>
      <w:bookmarkStart w:id="0" w:name="_Toc435202736"/>
      <w:bookmarkStart w:id="1" w:name="_Toc90997469"/>
      <w:r w:rsidRPr="00AC3B61">
        <w:rPr>
          <w:color w:val="auto"/>
        </w:rPr>
        <w:lastRenderedPageBreak/>
        <w:t>INTRODUÇÃO</w:t>
      </w:r>
      <w:bookmarkEnd w:id="0"/>
      <w:bookmarkEnd w:id="1"/>
    </w:p>
    <w:p w14:paraId="5E397784" w14:textId="1A94A43D" w:rsidR="006B0FB7" w:rsidRPr="00AC3B61" w:rsidRDefault="006B0FB7" w:rsidP="00AE51F2">
      <w:pPr>
        <w:rPr>
          <w:bCs/>
          <w:color w:val="auto"/>
          <w:szCs w:val="20"/>
        </w:rPr>
      </w:pPr>
      <w:r w:rsidRPr="00AC3B61">
        <w:rPr>
          <w:bCs/>
          <w:color w:val="auto"/>
          <w:szCs w:val="20"/>
        </w:rPr>
        <w:t xml:space="preserve">Atendendo à Resolução do Conselho Monetário Nacional - CMN nº </w:t>
      </w:r>
      <w:r w:rsidR="00912574" w:rsidRPr="00AC3B61">
        <w:rPr>
          <w:bCs/>
          <w:color w:val="auto"/>
          <w:szCs w:val="20"/>
        </w:rPr>
        <w:t>4.963</w:t>
      </w:r>
      <w:r w:rsidRPr="00AC3B61">
        <w:rPr>
          <w:bCs/>
          <w:color w:val="auto"/>
          <w:szCs w:val="20"/>
        </w:rPr>
        <w:t>, de 25 de novembro de 20</w:t>
      </w:r>
      <w:r w:rsidR="00912574" w:rsidRPr="00AC3B61">
        <w:rPr>
          <w:bCs/>
          <w:color w:val="auto"/>
          <w:szCs w:val="20"/>
        </w:rPr>
        <w:t>21</w:t>
      </w:r>
      <w:r w:rsidRPr="00AC3B61">
        <w:rPr>
          <w:bCs/>
          <w:color w:val="auto"/>
          <w:szCs w:val="20"/>
        </w:rPr>
        <w:t xml:space="preserve">, </w:t>
      </w:r>
      <w:r w:rsidR="00435A6C" w:rsidRPr="00AC3B61">
        <w:rPr>
          <w:bCs/>
          <w:color w:val="auto"/>
          <w:szCs w:val="20"/>
        </w:rPr>
        <w:t>(</w:t>
      </w:r>
      <w:r w:rsidRPr="00AC3B61">
        <w:rPr>
          <w:bCs/>
          <w:color w:val="auto"/>
          <w:szCs w:val="20"/>
        </w:rPr>
        <w:t xml:space="preserve">doravante denominada simplesmente “Resolução CMN nº </w:t>
      </w:r>
      <w:r w:rsidR="00912574" w:rsidRPr="00AC3B61">
        <w:rPr>
          <w:bCs/>
          <w:color w:val="auto"/>
          <w:szCs w:val="20"/>
        </w:rPr>
        <w:t>4.963</w:t>
      </w:r>
      <w:r w:rsidRPr="00AC3B61">
        <w:rPr>
          <w:bCs/>
          <w:color w:val="auto"/>
          <w:szCs w:val="20"/>
        </w:rPr>
        <w:t>/20</w:t>
      </w:r>
      <w:r w:rsidR="00912574" w:rsidRPr="00AC3B61">
        <w:rPr>
          <w:bCs/>
          <w:color w:val="auto"/>
          <w:szCs w:val="20"/>
        </w:rPr>
        <w:t>21</w:t>
      </w:r>
      <w:r w:rsidRPr="00AC3B61">
        <w:rPr>
          <w:bCs/>
          <w:color w:val="auto"/>
          <w:szCs w:val="20"/>
        </w:rPr>
        <w:t>”</w:t>
      </w:r>
      <w:r w:rsidR="00435A6C" w:rsidRPr="00AC3B61">
        <w:rPr>
          <w:bCs/>
          <w:color w:val="auto"/>
          <w:szCs w:val="20"/>
        </w:rPr>
        <w:t>)</w:t>
      </w:r>
      <w:r w:rsidRPr="00AC3B61">
        <w:rPr>
          <w:bCs/>
          <w:color w:val="auto"/>
          <w:szCs w:val="20"/>
        </w:rPr>
        <w:t xml:space="preserve">, o Comitê de Investimentos </w:t>
      </w:r>
      <w:r w:rsidR="00C22A8E" w:rsidRPr="00AC3B61">
        <w:rPr>
          <w:bCs/>
          <w:color w:val="auto"/>
          <w:szCs w:val="20"/>
        </w:rPr>
        <w:t>e a Diretoria Executiva</w:t>
      </w:r>
      <w:r w:rsidRPr="00AC3B61">
        <w:rPr>
          <w:bCs/>
          <w:color w:val="auto"/>
          <w:szCs w:val="20"/>
        </w:rPr>
        <w:t xml:space="preserve"> do </w:t>
      </w:r>
      <w:r w:rsidR="005F15DD" w:rsidRPr="00AC3B61">
        <w:rPr>
          <w:bCs/>
          <w:color w:val="auto"/>
          <w:szCs w:val="20"/>
        </w:rPr>
        <w:t>Instituto de Previdência dos Servidores Públicos do Município de Pitangueiras - PITANPREV</w:t>
      </w:r>
      <w:r w:rsidRPr="00AC3B61">
        <w:rPr>
          <w:bCs/>
          <w:color w:val="auto"/>
          <w:szCs w:val="20"/>
        </w:rPr>
        <w:t xml:space="preserve">, apresenta sua Política de Investimentos para o exercício de </w:t>
      </w:r>
      <w:r w:rsidR="00CB3977" w:rsidRPr="00AC3B61">
        <w:rPr>
          <w:bCs/>
          <w:color w:val="auto"/>
          <w:szCs w:val="20"/>
        </w:rPr>
        <w:t>20</w:t>
      </w:r>
      <w:r w:rsidR="007667F7" w:rsidRPr="00AC3B61">
        <w:rPr>
          <w:bCs/>
          <w:color w:val="auto"/>
          <w:szCs w:val="20"/>
        </w:rPr>
        <w:t>2</w:t>
      </w:r>
      <w:r w:rsidR="007A1214" w:rsidRPr="00AC3B61">
        <w:rPr>
          <w:bCs/>
          <w:color w:val="auto"/>
          <w:szCs w:val="20"/>
        </w:rPr>
        <w:t>2</w:t>
      </w:r>
      <w:r w:rsidRPr="00AC3B61">
        <w:rPr>
          <w:bCs/>
          <w:color w:val="auto"/>
          <w:szCs w:val="20"/>
        </w:rPr>
        <w:t xml:space="preserve">, </w:t>
      </w:r>
      <w:r w:rsidR="007667F7" w:rsidRPr="00AC3B61">
        <w:rPr>
          <w:bCs/>
          <w:color w:val="auto"/>
          <w:szCs w:val="20"/>
        </w:rPr>
        <w:t xml:space="preserve">devidamente analisada e </w:t>
      </w:r>
      <w:r w:rsidRPr="00AC3B61">
        <w:rPr>
          <w:bCs/>
          <w:color w:val="auto"/>
          <w:szCs w:val="20"/>
        </w:rPr>
        <w:t xml:space="preserve">aprovada por seu órgão superior </w:t>
      </w:r>
      <w:r w:rsidR="00BB30F1" w:rsidRPr="00AC3B61">
        <w:rPr>
          <w:bCs/>
          <w:color w:val="auto"/>
          <w:szCs w:val="20"/>
        </w:rPr>
        <w:t>de deliberação</w:t>
      </w:r>
      <w:r w:rsidRPr="00AC3B61">
        <w:rPr>
          <w:bCs/>
          <w:color w:val="auto"/>
          <w:szCs w:val="20"/>
        </w:rPr>
        <w:t>.</w:t>
      </w:r>
    </w:p>
    <w:p w14:paraId="5DAAEEB3" w14:textId="035D25A5" w:rsidR="006B0FB7" w:rsidRPr="00AC3B61" w:rsidRDefault="006B0FB7" w:rsidP="00AE51F2">
      <w:pPr>
        <w:rPr>
          <w:bCs/>
          <w:color w:val="auto"/>
          <w:szCs w:val="20"/>
        </w:rPr>
      </w:pPr>
      <w:r w:rsidRPr="00AC3B61">
        <w:rPr>
          <w:bCs/>
          <w:color w:val="auto"/>
          <w:szCs w:val="20"/>
        </w:rPr>
        <w:t>A Política de Investimentos representa uma formalidade legal que fundamenta e norteia todos os processos de tomada de decis</w:t>
      </w:r>
      <w:r w:rsidR="00830D46" w:rsidRPr="00AC3B61">
        <w:rPr>
          <w:bCs/>
          <w:color w:val="auto"/>
          <w:szCs w:val="20"/>
        </w:rPr>
        <w:t>ão</w:t>
      </w:r>
      <w:r w:rsidRPr="00AC3B61">
        <w:rPr>
          <w:bCs/>
          <w:color w:val="auto"/>
          <w:szCs w:val="20"/>
        </w:rPr>
        <w:t xml:space="preserve"> relativo</w:t>
      </w:r>
      <w:r w:rsidR="008D543F" w:rsidRPr="00AC3B61">
        <w:rPr>
          <w:bCs/>
          <w:color w:val="auto"/>
          <w:szCs w:val="20"/>
        </w:rPr>
        <w:t xml:space="preserve"> </w:t>
      </w:r>
      <w:r w:rsidR="003B4A68" w:rsidRPr="00AC3B61">
        <w:rPr>
          <w:bCs/>
          <w:color w:val="auto"/>
          <w:szCs w:val="20"/>
        </w:rPr>
        <w:t>à</w:t>
      </w:r>
      <w:r w:rsidR="008D543F" w:rsidRPr="00AC3B61">
        <w:rPr>
          <w:bCs/>
          <w:color w:val="auto"/>
          <w:szCs w:val="20"/>
        </w:rPr>
        <w:t xml:space="preserve"> aplicação</w:t>
      </w:r>
      <w:r w:rsidR="00B459E0" w:rsidRPr="00AC3B61">
        <w:rPr>
          <w:bCs/>
          <w:color w:val="auto"/>
          <w:szCs w:val="20"/>
        </w:rPr>
        <w:t xml:space="preserve"> e gestão </w:t>
      </w:r>
      <w:r w:rsidR="0029598B" w:rsidRPr="00AC3B61">
        <w:rPr>
          <w:bCs/>
          <w:color w:val="auto"/>
          <w:szCs w:val="20"/>
        </w:rPr>
        <w:t>do</w:t>
      </w:r>
      <w:r w:rsidR="00B459E0" w:rsidRPr="00AC3B61">
        <w:rPr>
          <w:bCs/>
          <w:color w:val="auto"/>
          <w:szCs w:val="20"/>
        </w:rPr>
        <w:t>s</w:t>
      </w:r>
      <w:r w:rsidR="0029598B" w:rsidRPr="00AC3B61">
        <w:rPr>
          <w:bCs/>
          <w:color w:val="auto"/>
          <w:szCs w:val="20"/>
        </w:rPr>
        <w:t xml:space="preserve"> </w:t>
      </w:r>
      <w:r w:rsidR="00130C4B" w:rsidRPr="00AC3B61">
        <w:rPr>
          <w:bCs/>
          <w:color w:val="auto"/>
          <w:szCs w:val="20"/>
        </w:rPr>
        <w:t xml:space="preserve">recursos dos </w:t>
      </w:r>
      <w:r w:rsidRPr="00AC3B61">
        <w:rPr>
          <w:bCs/>
          <w:color w:val="auto"/>
          <w:szCs w:val="20"/>
        </w:rPr>
        <w:t xml:space="preserve">Regimes Próprios de Previdência Social – </w:t>
      </w:r>
      <w:r w:rsidR="00C22A8E" w:rsidRPr="00AC3B61">
        <w:rPr>
          <w:bCs/>
          <w:color w:val="auto"/>
          <w:szCs w:val="20"/>
        </w:rPr>
        <w:t>RPPS</w:t>
      </w:r>
      <w:r w:rsidRPr="00AC3B61">
        <w:rPr>
          <w:bCs/>
          <w:color w:val="auto"/>
          <w:szCs w:val="20"/>
        </w:rPr>
        <w:t xml:space="preserve">, empregada como </w:t>
      </w:r>
      <w:r w:rsidR="0099023F" w:rsidRPr="00AC3B61">
        <w:rPr>
          <w:bCs/>
          <w:color w:val="auto"/>
          <w:szCs w:val="20"/>
        </w:rPr>
        <w:t xml:space="preserve">ferramenta de gestão necessária </w:t>
      </w:r>
      <w:r w:rsidRPr="00AC3B61">
        <w:rPr>
          <w:bCs/>
          <w:color w:val="auto"/>
          <w:szCs w:val="20"/>
        </w:rPr>
        <w:t>para garantir</w:t>
      </w:r>
      <w:r w:rsidR="008663F8" w:rsidRPr="00AC3B61">
        <w:rPr>
          <w:bCs/>
          <w:color w:val="auto"/>
          <w:szCs w:val="20"/>
        </w:rPr>
        <w:t xml:space="preserve"> o </w:t>
      </w:r>
      <w:r w:rsidRPr="00AC3B61">
        <w:rPr>
          <w:bCs/>
          <w:color w:val="auto"/>
          <w:szCs w:val="20"/>
        </w:rPr>
        <w:t>equilíbrio econômico</w:t>
      </w:r>
      <w:r w:rsidR="004A7FC2" w:rsidRPr="00AC3B61">
        <w:rPr>
          <w:bCs/>
          <w:color w:val="auto"/>
          <w:szCs w:val="20"/>
        </w:rPr>
        <w:t xml:space="preserve">, </w:t>
      </w:r>
      <w:r w:rsidRPr="00AC3B61">
        <w:rPr>
          <w:bCs/>
          <w:color w:val="auto"/>
          <w:szCs w:val="20"/>
        </w:rPr>
        <w:t>financeiro</w:t>
      </w:r>
      <w:r w:rsidR="004A7FC2" w:rsidRPr="00AC3B61">
        <w:rPr>
          <w:bCs/>
          <w:color w:val="auto"/>
          <w:szCs w:val="20"/>
        </w:rPr>
        <w:t xml:space="preserve"> e atuarial</w:t>
      </w:r>
      <w:r w:rsidRPr="00AC3B61">
        <w:rPr>
          <w:bCs/>
          <w:color w:val="auto"/>
          <w:szCs w:val="20"/>
        </w:rPr>
        <w:t>.</w:t>
      </w:r>
    </w:p>
    <w:p w14:paraId="2C2FA321" w14:textId="716EB1AE" w:rsidR="002F635C" w:rsidRPr="00AC3B61" w:rsidRDefault="006B0FB7">
      <w:pPr>
        <w:rPr>
          <w:bCs/>
          <w:color w:val="auto"/>
          <w:szCs w:val="20"/>
        </w:rPr>
      </w:pPr>
      <w:r w:rsidRPr="00AC3B61">
        <w:rPr>
          <w:bCs/>
          <w:color w:val="auto"/>
          <w:szCs w:val="20"/>
        </w:rPr>
        <w:t xml:space="preserve">Os fundamentos para a elaboração da </w:t>
      </w:r>
      <w:r w:rsidR="008663F8" w:rsidRPr="00AC3B61">
        <w:rPr>
          <w:bCs/>
          <w:color w:val="auto"/>
          <w:szCs w:val="20"/>
        </w:rPr>
        <w:t xml:space="preserve">presente </w:t>
      </w:r>
      <w:r w:rsidRPr="00AC3B61">
        <w:rPr>
          <w:bCs/>
          <w:color w:val="auto"/>
          <w:szCs w:val="20"/>
        </w:rPr>
        <w:t xml:space="preserve">Política de Investimentos estão centrados </w:t>
      </w:r>
      <w:r w:rsidR="0093252D" w:rsidRPr="00AC3B61">
        <w:rPr>
          <w:bCs/>
          <w:color w:val="auto"/>
          <w:szCs w:val="20"/>
        </w:rPr>
        <w:t>nos</w:t>
      </w:r>
      <w:r w:rsidRPr="00AC3B61">
        <w:rPr>
          <w:bCs/>
          <w:color w:val="auto"/>
          <w:szCs w:val="20"/>
        </w:rPr>
        <w:t xml:space="preserve"> critérios</w:t>
      </w:r>
      <w:r w:rsidR="008663F8" w:rsidRPr="00AC3B61">
        <w:rPr>
          <w:bCs/>
          <w:color w:val="auto"/>
          <w:szCs w:val="20"/>
        </w:rPr>
        <w:t xml:space="preserve"> legais e</w:t>
      </w:r>
      <w:r w:rsidRPr="00AC3B61">
        <w:rPr>
          <w:bCs/>
          <w:color w:val="auto"/>
          <w:szCs w:val="20"/>
        </w:rPr>
        <w:t xml:space="preserve"> técnicos</w:t>
      </w:r>
      <w:r w:rsidR="0093252D" w:rsidRPr="00AC3B61">
        <w:rPr>
          <w:bCs/>
          <w:color w:val="auto"/>
          <w:szCs w:val="20"/>
        </w:rPr>
        <w:t>, estes</w:t>
      </w:r>
      <w:r w:rsidRPr="00AC3B61">
        <w:rPr>
          <w:bCs/>
          <w:color w:val="auto"/>
          <w:szCs w:val="20"/>
        </w:rPr>
        <w:t xml:space="preserve"> de grande relevância. Ressalta-se que </w:t>
      </w:r>
      <w:r w:rsidR="003F78BC" w:rsidRPr="00AC3B61">
        <w:rPr>
          <w:bCs/>
          <w:color w:val="auto"/>
          <w:szCs w:val="20"/>
        </w:rPr>
        <w:t>serão</w:t>
      </w:r>
      <w:r w:rsidRPr="00AC3B61">
        <w:rPr>
          <w:bCs/>
          <w:color w:val="auto"/>
          <w:szCs w:val="20"/>
        </w:rPr>
        <w:t xml:space="preserve"> observado</w:t>
      </w:r>
      <w:r w:rsidR="003F78BC" w:rsidRPr="00AC3B61">
        <w:rPr>
          <w:bCs/>
          <w:color w:val="auto"/>
          <w:szCs w:val="20"/>
        </w:rPr>
        <w:t>s</w:t>
      </w:r>
      <w:r w:rsidRPr="00AC3B61">
        <w:rPr>
          <w:bCs/>
          <w:color w:val="auto"/>
          <w:szCs w:val="20"/>
        </w:rPr>
        <w:t>, para que se trabalhe com parâmetros sólidos</w:t>
      </w:r>
      <w:r w:rsidR="00BC6C2D" w:rsidRPr="00AC3B61">
        <w:rPr>
          <w:bCs/>
          <w:color w:val="auto"/>
          <w:szCs w:val="20"/>
        </w:rPr>
        <w:t xml:space="preserve"> quanto a tomada de decisões</w:t>
      </w:r>
      <w:r w:rsidR="005473B7" w:rsidRPr="00AC3B61">
        <w:rPr>
          <w:bCs/>
          <w:color w:val="auto"/>
          <w:szCs w:val="20"/>
        </w:rPr>
        <w:t>, a</w:t>
      </w:r>
      <w:r w:rsidRPr="00AC3B61">
        <w:rPr>
          <w:bCs/>
          <w:color w:val="auto"/>
          <w:szCs w:val="20"/>
        </w:rPr>
        <w:t xml:space="preserve"> análise do fluxo de caixa atuarial, levando-se em consideração as reservas técnicas atuariais (ativos) e as reservas matemáticas (passivo) projetadas pelo cálculo atuarial.</w:t>
      </w:r>
    </w:p>
    <w:p w14:paraId="3A920407" w14:textId="77777777" w:rsidR="006B0FB7" w:rsidRPr="00AC3B61" w:rsidRDefault="006B0FB7" w:rsidP="00272363">
      <w:pPr>
        <w:pStyle w:val="Ttulo1"/>
        <w:spacing w:before="360"/>
        <w:rPr>
          <w:color w:val="auto"/>
        </w:rPr>
      </w:pPr>
      <w:bookmarkStart w:id="2" w:name="_Toc435202737"/>
      <w:bookmarkStart w:id="3" w:name="_Toc490036539"/>
      <w:bookmarkStart w:id="4" w:name="_Toc90997470"/>
      <w:r w:rsidRPr="00AC3B61">
        <w:rPr>
          <w:color w:val="auto"/>
        </w:rPr>
        <w:t>OBJETIVO</w:t>
      </w:r>
      <w:bookmarkEnd w:id="2"/>
      <w:bookmarkEnd w:id="3"/>
      <w:bookmarkEnd w:id="4"/>
    </w:p>
    <w:p w14:paraId="0EB15A20" w14:textId="4716CD98" w:rsidR="006B0FB7" w:rsidRPr="00AC3B61" w:rsidRDefault="006B0FB7" w:rsidP="00AE51F2">
      <w:pPr>
        <w:rPr>
          <w:bCs/>
          <w:color w:val="auto"/>
          <w:szCs w:val="20"/>
        </w:rPr>
      </w:pPr>
      <w:r w:rsidRPr="00AC3B61">
        <w:rPr>
          <w:bCs/>
          <w:color w:val="auto"/>
          <w:szCs w:val="20"/>
        </w:rPr>
        <w:t xml:space="preserve">A Política de Investimentos do </w:t>
      </w:r>
      <w:r w:rsidR="006C2BD7" w:rsidRPr="00AC3B61">
        <w:rPr>
          <w:bCs/>
          <w:color w:val="auto"/>
          <w:szCs w:val="20"/>
        </w:rPr>
        <w:t>Instituto de Previdência dos Servidores Públicos do Município de Pitangueiras – PITANPREV,</w:t>
      </w:r>
      <w:r w:rsidRPr="00AC3B61">
        <w:rPr>
          <w:bCs/>
          <w:color w:val="auto"/>
          <w:szCs w:val="20"/>
        </w:rPr>
        <w:t xml:space="preserve"> tem como objetivo estabelecer as</w:t>
      </w:r>
      <w:r w:rsidR="00F21028" w:rsidRPr="00AC3B61">
        <w:rPr>
          <w:bCs/>
          <w:color w:val="auto"/>
          <w:szCs w:val="20"/>
        </w:rPr>
        <w:t xml:space="preserve"> regras, os procedimentos e os controles</w:t>
      </w:r>
      <w:r w:rsidRPr="00AC3B61">
        <w:rPr>
          <w:bCs/>
          <w:color w:val="auto"/>
          <w:szCs w:val="20"/>
        </w:rPr>
        <w:t xml:space="preserve"> </w:t>
      </w:r>
      <w:r w:rsidR="00251077" w:rsidRPr="00AC3B61">
        <w:rPr>
          <w:bCs/>
          <w:color w:val="auto"/>
          <w:szCs w:val="20"/>
        </w:rPr>
        <w:t xml:space="preserve">a serem instituídos </w:t>
      </w:r>
      <w:r w:rsidR="00892132" w:rsidRPr="00AC3B61">
        <w:rPr>
          <w:bCs/>
          <w:color w:val="auto"/>
          <w:szCs w:val="20"/>
        </w:rPr>
        <w:t xml:space="preserve">relativos às aplicações e gestão dos recursos </w:t>
      </w:r>
      <w:r w:rsidRPr="00AC3B61">
        <w:rPr>
          <w:bCs/>
          <w:color w:val="auto"/>
          <w:szCs w:val="20"/>
        </w:rPr>
        <w:t xml:space="preserve">garantidores dos pagamentos dos segurados e beneficiários do </w:t>
      </w:r>
      <w:r w:rsidR="00A15A48" w:rsidRPr="00AC3B61">
        <w:rPr>
          <w:bCs/>
          <w:color w:val="auto"/>
          <w:szCs w:val="20"/>
        </w:rPr>
        <w:t>Regime</w:t>
      </w:r>
      <w:r w:rsidRPr="00AC3B61">
        <w:rPr>
          <w:bCs/>
          <w:color w:val="auto"/>
          <w:szCs w:val="20"/>
        </w:rPr>
        <w:t xml:space="preserve">, visando </w:t>
      </w:r>
      <w:r w:rsidR="00A15A48" w:rsidRPr="00AC3B61">
        <w:rPr>
          <w:bCs/>
          <w:color w:val="auto"/>
          <w:szCs w:val="20"/>
        </w:rPr>
        <w:t xml:space="preserve">não somente </w:t>
      </w:r>
      <w:r w:rsidRPr="00AC3B61">
        <w:rPr>
          <w:bCs/>
          <w:color w:val="auto"/>
          <w:szCs w:val="20"/>
        </w:rPr>
        <w:t>atingir</w:t>
      </w:r>
      <w:r w:rsidR="002D68D5" w:rsidRPr="00AC3B61">
        <w:rPr>
          <w:bCs/>
          <w:color w:val="auto"/>
          <w:szCs w:val="20"/>
        </w:rPr>
        <w:t xml:space="preserve"> </w:t>
      </w:r>
      <w:r w:rsidR="004C2EC8" w:rsidRPr="00AC3B61">
        <w:rPr>
          <w:bCs/>
          <w:color w:val="auto"/>
          <w:szCs w:val="20"/>
        </w:rPr>
        <w:t>a meta de rentabilidade</w:t>
      </w:r>
      <w:r w:rsidR="00AB5E04" w:rsidRPr="00AC3B61">
        <w:rPr>
          <w:bCs/>
          <w:color w:val="auto"/>
          <w:szCs w:val="20"/>
        </w:rPr>
        <w:t xml:space="preserve"> definida a partir </w:t>
      </w:r>
      <w:r w:rsidR="00AC3B61" w:rsidRPr="00AC3B61">
        <w:rPr>
          <w:bCs/>
          <w:color w:val="auto"/>
          <w:szCs w:val="20"/>
        </w:rPr>
        <w:t>d</w:t>
      </w:r>
      <w:r w:rsidR="00AB5E04" w:rsidRPr="00AC3B61">
        <w:rPr>
          <w:bCs/>
          <w:color w:val="auto"/>
          <w:szCs w:val="20"/>
        </w:rPr>
        <w:t>o cálculo</w:t>
      </w:r>
      <w:r w:rsidR="00AC3B61" w:rsidRPr="00AC3B61">
        <w:rPr>
          <w:bCs/>
          <w:color w:val="auto"/>
          <w:szCs w:val="20"/>
        </w:rPr>
        <w:t>,</w:t>
      </w:r>
      <w:r w:rsidR="00AB5E04" w:rsidRPr="00AC3B61">
        <w:rPr>
          <w:bCs/>
          <w:color w:val="auto"/>
          <w:szCs w:val="20"/>
        </w:rPr>
        <w:t xml:space="preserve"> </w:t>
      </w:r>
      <w:r w:rsidR="00C41FF5" w:rsidRPr="00AC3B61">
        <w:rPr>
          <w:bCs/>
          <w:color w:val="auto"/>
          <w:szCs w:val="20"/>
        </w:rPr>
        <w:t>feita na apuração do valor esperado da ren</w:t>
      </w:r>
      <w:r w:rsidR="00AC3B61" w:rsidRPr="00AC3B61">
        <w:rPr>
          <w:bCs/>
          <w:color w:val="auto"/>
          <w:szCs w:val="20"/>
        </w:rPr>
        <w:t>tabilidade futura da carteira de</w:t>
      </w:r>
      <w:r w:rsidR="00C41FF5" w:rsidRPr="00AC3B61">
        <w:rPr>
          <w:bCs/>
          <w:color w:val="auto"/>
          <w:szCs w:val="20"/>
        </w:rPr>
        <w:t xml:space="preserve"> investimentos</w:t>
      </w:r>
      <w:r w:rsidR="00251077" w:rsidRPr="00AC3B61">
        <w:rPr>
          <w:bCs/>
          <w:color w:val="auto"/>
          <w:szCs w:val="20"/>
        </w:rPr>
        <w:t xml:space="preserve">, mas </w:t>
      </w:r>
      <w:r w:rsidR="009912BD" w:rsidRPr="00AC3B61">
        <w:rPr>
          <w:bCs/>
          <w:color w:val="auto"/>
          <w:szCs w:val="20"/>
        </w:rPr>
        <w:t xml:space="preserve">também </w:t>
      </w:r>
      <w:r w:rsidRPr="00AC3B61">
        <w:rPr>
          <w:bCs/>
          <w:color w:val="auto"/>
          <w:szCs w:val="20"/>
        </w:rPr>
        <w:t>garantir a manutenção do</w:t>
      </w:r>
      <w:r w:rsidR="009912BD" w:rsidRPr="00AC3B61">
        <w:rPr>
          <w:bCs/>
          <w:color w:val="auto"/>
          <w:szCs w:val="20"/>
        </w:rPr>
        <w:t xml:space="preserve"> </w:t>
      </w:r>
      <w:r w:rsidRPr="00AC3B61">
        <w:rPr>
          <w:bCs/>
          <w:color w:val="auto"/>
          <w:szCs w:val="20"/>
        </w:rPr>
        <w:t>equilíbrio econômico</w:t>
      </w:r>
      <w:r w:rsidR="009F49F5" w:rsidRPr="00AC3B61">
        <w:rPr>
          <w:bCs/>
          <w:color w:val="auto"/>
          <w:szCs w:val="20"/>
        </w:rPr>
        <w:t xml:space="preserve">, </w:t>
      </w:r>
      <w:r w:rsidRPr="00AC3B61">
        <w:rPr>
          <w:bCs/>
          <w:color w:val="auto"/>
          <w:szCs w:val="20"/>
        </w:rPr>
        <w:t>financeiro e atuarial, tendo sempre presentes os princípios da boa governança, da segurança, rentabilidade, solvência, liquidez</w:t>
      </w:r>
      <w:r w:rsidR="00C22A8E" w:rsidRPr="00AC3B61">
        <w:rPr>
          <w:bCs/>
          <w:color w:val="auto"/>
          <w:szCs w:val="20"/>
        </w:rPr>
        <w:t>, motivação, adequação à natureza de suas obrigações</w:t>
      </w:r>
      <w:r w:rsidRPr="00AC3B61">
        <w:rPr>
          <w:bCs/>
          <w:color w:val="auto"/>
          <w:szCs w:val="20"/>
        </w:rPr>
        <w:t xml:space="preserve"> e transparência.</w:t>
      </w:r>
    </w:p>
    <w:p w14:paraId="44DB23B0" w14:textId="54C38AF1" w:rsidR="006B0FB7" w:rsidRPr="00AC3B61" w:rsidRDefault="00E7502F" w:rsidP="00AE51F2">
      <w:pPr>
        <w:rPr>
          <w:bCs/>
          <w:color w:val="auto"/>
          <w:szCs w:val="20"/>
        </w:rPr>
      </w:pPr>
      <w:r w:rsidRPr="00AC3B61">
        <w:rPr>
          <w:bCs/>
          <w:color w:val="auto"/>
          <w:szCs w:val="20"/>
        </w:rPr>
        <w:t>Complementarmente, a</w:t>
      </w:r>
      <w:r w:rsidR="006B0FB7" w:rsidRPr="00AC3B61">
        <w:rPr>
          <w:bCs/>
          <w:color w:val="auto"/>
          <w:szCs w:val="20"/>
        </w:rPr>
        <w:t xml:space="preserve"> Política de Investimentos zela pela </w:t>
      </w:r>
      <w:r w:rsidR="00BF7AD9" w:rsidRPr="00AC3B61">
        <w:rPr>
          <w:bCs/>
          <w:color w:val="auto"/>
          <w:szCs w:val="20"/>
        </w:rPr>
        <w:t>diligência</w:t>
      </w:r>
      <w:r w:rsidR="006B0FB7" w:rsidRPr="00AC3B61">
        <w:rPr>
          <w:bCs/>
          <w:color w:val="auto"/>
          <w:szCs w:val="20"/>
        </w:rPr>
        <w:t xml:space="preserve"> na condução d</w:t>
      </w:r>
      <w:r w:rsidR="009F49F5" w:rsidRPr="00AC3B61">
        <w:rPr>
          <w:bCs/>
          <w:color w:val="auto"/>
          <w:szCs w:val="20"/>
        </w:rPr>
        <w:t xml:space="preserve">os processos internos </w:t>
      </w:r>
      <w:r w:rsidR="006B0FB7" w:rsidRPr="00AC3B61">
        <w:rPr>
          <w:bCs/>
          <w:color w:val="auto"/>
          <w:szCs w:val="20"/>
        </w:rPr>
        <w:t>relativ</w:t>
      </w:r>
      <w:r w:rsidR="00BF7AD9" w:rsidRPr="00AC3B61">
        <w:rPr>
          <w:bCs/>
          <w:color w:val="auto"/>
          <w:szCs w:val="20"/>
        </w:rPr>
        <w:t>o</w:t>
      </w:r>
      <w:r w:rsidR="006B0FB7" w:rsidRPr="00AC3B61">
        <w:rPr>
          <w:bCs/>
          <w:color w:val="auto"/>
          <w:szCs w:val="20"/>
        </w:rPr>
        <w:t xml:space="preserve">s </w:t>
      </w:r>
      <w:r w:rsidR="000951A6" w:rsidRPr="00AC3B61">
        <w:rPr>
          <w:bCs/>
          <w:color w:val="auto"/>
          <w:szCs w:val="20"/>
        </w:rPr>
        <w:t>a tomada de decisão quanto as</w:t>
      </w:r>
      <w:r w:rsidR="006B0FB7" w:rsidRPr="00AC3B61">
        <w:rPr>
          <w:bCs/>
          <w:color w:val="auto"/>
          <w:szCs w:val="20"/>
        </w:rPr>
        <w:t xml:space="preserve"> aplicações</w:t>
      </w:r>
      <w:r w:rsidR="000951A6" w:rsidRPr="00AC3B61">
        <w:rPr>
          <w:bCs/>
          <w:color w:val="auto"/>
          <w:szCs w:val="20"/>
        </w:rPr>
        <w:t xml:space="preserve"> </w:t>
      </w:r>
      <w:r w:rsidR="009F49F5" w:rsidRPr="00AC3B61">
        <w:rPr>
          <w:bCs/>
          <w:color w:val="auto"/>
          <w:szCs w:val="20"/>
        </w:rPr>
        <w:t xml:space="preserve">dos </w:t>
      </w:r>
      <w:r w:rsidR="006B0FB7" w:rsidRPr="00AC3B61">
        <w:rPr>
          <w:bCs/>
          <w:color w:val="auto"/>
          <w:szCs w:val="20"/>
        </w:rPr>
        <w:t xml:space="preserve">recursos, buscando </w:t>
      </w:r>
      <w:r w:rsidR="003D4647" w:rsidRPr="00AC3B61">
        <w:rPr>
          <w:bCs/>
          <w:color w:val="auto"/>
          <w:szCs w:val="20"/>
        </w:rPr>
        <w:t xml:space="preserve">a alocação dos seus recursos </w:t>
      </w:r>
      <w:r w:rsidR="006B0FB7" w:rsidRPr="00AC3B61">
        <w:rPr>
          <w:bCs/>
          <w:color w:val="auto"/>
          <w:szCs w:val="20"/>
        </w:rPr>
        <w:t xml:space="preserve">em </w:t>
      </w:r>
      <w:r w:rsidR="003D4647" w:rsidRPr="00AC3B61">
        <w:rPr>
          <w:bCs/>
          <w:color w:val="auto"/>
          <w:szCs w:val="20"/>
        </w:rPr>
        <w:t>Instituições Financeiras</w:t>
      </w:r>
      <w:r w:rsidR="006B0FB7" w:rsidRPr="00AC3B61">
        <w:rPr>
          <w:bCs/>
          <w:color w:val="auto"/>
          <w:szCs w:val="20"/>
        </w:rPr>
        <w:t xml:space="preserve"> que possuam</w:t>
      </w:r>
      <w:r w:rsidR="00214DF1" w:rsidRPr="00AC3B61">
        <w:rPr>
          <w:bCs/>
          <w:color w:val="auto"/>
          <w:szCs w:val="20"/>
        </w:rPr>
        <w:t xml:space="preserve">, dentre outras, </w:t>
      </w:r>
      <w:r w:rsidR="006B0FB7" w:rsidRPr="00AC3B61">
        <w:rPr>
          <w:bCs/>
          <w:color w:val="auto"/>
          <w:szCs w:val="20"/>
        </w:rPr>
        <w:t xml:space="preserve">as seguintes características: </w:t>
      </w:r>
      <w:r w:rsidR="00C76AD1" w:rsidRPr="00AC3B61">
        <w:rPr>
          <w:b/>
          <w:bCs/>
          <w:color w:val="auto"/>
          <w:szCs w:val="20"/>
        </w:rPr>
        <w:t xml:space="preserve">padrão ético de conduta, </w:t>
      </w:r>
      <w:r w:rsidR="006B0FB7" w:rsidRPr="00AC3B61">
        <w:rPr>
          <w:b/>
          <w:bCs/>
          <w:color w:val="auto"/>
          <w:szCs w:val="20"/>
        </w:rPr>
        <w:t xml:space="preserve">solidez patrimonial, </w:t>
      </w:r>
      <w:r w:rsidR="00C76AD1" w:rsidRPr="00AC3B61">
        <w:rPr>
          <w:b/>
          <w:bCs/>
          <w:color w:val="auto"/>
          <w:szCs w:val="20"/>
        </w:rPr>
        <w:t xml:space="preserve">histórico e </w:t>
      </w:r>
      <w:r w:rsidR="006B0FB7" w:rsidRPr="00AC3B61">
        <w:rPr>
          <w:b/>
          <w:bCs/>
          <w:color w:val="auto"/>
          <w:szCs w:val="20"/>
        </w:rPr>
        <w:t>experiência positiva</w:t>
      </w:r>
      <w:r w:rsidR="00C76AD1" w:rsidRPr="00AC3B61">
        <w:rPr>
          <w:b/>
          <w:bCs/>
          <w:color w:val="auto"/>
          <w:szCs w:val="20"/>
        </w:rPr>
        <w:t>, com reputação considerada ilibada</w:t>
      </w:r>
      <w:r w:rsidR="006B0FB7" w:rsidRPr="00AC3B61">
        <w:rPr>
          <w:b/>
          <w:bCs/>
          <w:color w:val="auto"/>
          <w:szCs w:val="20"/>
        </w:rPr>
        <w:t xml:space="preserve"> no exercício da atividade de administração e gestão de grandes volumes de recursos e em ativos com adequada relação risco X retorno</w:t>
      </w:r>
      <w:r w:rsidR="006B0FB7" w:rsidRPr="00AC3B61">
        <w:rPr>
          <w:bCs/>
          <w:color w:val="auto"/>
          <w:szCs w:val="20"/>
        </w:rPr>
        <w:t>.</w:t>
      </w:r>
    </w:p>
    <w:p w14:paraId="4EE36CD0" w14:textId="1BA2A0AC" w:rsidR="002F635C" w:rsidRPr="00AC3B61" w:rsidRDefault="006B0FB7">
      <w:pPr>
        <w:rPr>
          <w:bCs/>
          <w:color w:val="auto"/>
          <w:szCs w:val="20"/>
        </w:rPr>
      </w:pPr>
      <w:r w:rsidRPr="00AC3B61">
        <w:rPr>
          <w:bCs/>
          <w:color w:val="auto"/>
          <w:szCs w:val="20"/>
        </w:rPr>
        <w:t>Para</w:t>
      </w:r>
      <w:r w:rsidR="001C552D" w:rsidRPr="00AC3B61">
        <w:rPr>
          <w:bCs/>
          <w:color w:val="auto"/>
          <w:szCs w:val="20"/>
        </w:rPr>
        <w:t xml:space="preserve"> </w:t>
      </w:r>
      <w:r w:rsidR="00D5662F" w:rsidRPr="00AC3B61">
        <w:rPr>
          <w:bCs/>
          <w:color w:val="auto"/>
          <w:szCs w:val="20"/>
        </w:rPr>
        <w:t xml:space="preserve">seu </w:t>
      </w:r>
      <w:r w:rsidRPr="00AC3B61">
        <w:rPr>
          <w:bCs/>
          <w:color w:val="auto"/>
          <w:szCs w:val="20"/>
        </w:rPr>
        <w:t xml:space="preserve">cumprimento, a </w:t>
      </w:r>
      <w:r w:rsidR="00E451EC" w:rsidRPr="00AC3B61">
        <w:rPr>
          <w:bCs/>
          <w:color w:val="auto"/>
          <w:szCs w:val="20"/>
        </w:rPr>
        <w:t>P</w:t>
      </w:r>
      <w:r w:rsidRPr="00AC3B61">
        <w:rPr>
          <w:bCs/>
          <w:color w:val="auto"/>
          <w:szCs w:val="20"/>
        </w:rPr>
        <w:t xml:space="preserve">olítica </w:t>
      </w:r>
      <w:r w:rsidR="005B4379" w:rsidRPr="00AC3B61">
        <w:rPr>
          <w:bCs/>
          <w:color w:val="auto"/>
          <w:szCs w:val="20"/>
        </w:rPr>
        <w:t xml:space="preserve">de </w:t>
      </w:r>
      <w:r w:rsidR="00E451EC" w:rsidRPr="00AC3B61">
        <w:rPr>
          <w:bCs/>
          <w:color w:val="auto"/>
          <w:szCs w:val="20"/>
        </w:rPr>
        <w:t>I</w:t>
      </w:r>
      <w:r w:rsidR="005B4379" w:rsidRPr="00AC3B61">
        <w:rPr>
          <w:bCs/>
          <w:color w:val="auto"/>
          <w:szCs w:val="20"/>
        </w:rPr>
        <w:t xml:space="preserve">nvestimentos </w:t>
      </w:r>
      <w:r w:rsidR="00D567A2" w:rsidRPr="00AC3B61">
        <w:rPr>
          <w:bCs/>
          <w:color w:val="auto"/>
          <w:szCs w:val="20"/>
        </w:rPr>
        <w:t>apresenta</w:t>
      </w:r>
      <w:r w:rsidR="00D5662F" w:rsidRPr="00AC3B61">
        <w:rPr>
          <w:bCs/>
          <w:color w:val="auto"/>
          <w:szCs w:val="20"/>
        </w:rPr>
        <w:t xml:space="preserve"> os critérios</w:t>
      </w:r>
      <w:r w:rsidR="00D567A2" w:rsidRPr="00AC3B61">
        <w:rPr>
          <w:bCs/>
          <w:color w:val="auto"/>
          <w:szCs w:val="20"/>
        </w:rPr>
        <w:t xml:space="preserve"> </w:t>
      </w:r>
      <w:r w:rsidR="005454D6" w:rsidRPr="00AC3B61">
        <w:rPr>
          <w:bCs/>
          <w:color w:val="auto"/>
          <w:szCs w:val="20"/>
        </w:rPr>
        <w:t>quanto</w:t>
      </w:r>
      <w:r w:rsidRPr="00AC3B61">
        <w:rPr>
          <w:bCs/>
          <w:color w:val="auto"/>
          <w:szCs w:val="20"/>
        </w:rPr>
        <w:t xml:space="preserve"> </w:t>
      </w:r>
      <w:r w:rsidR="005454D6" w:rsidRPr="00AC3B61">
        <w:rPr>
          <w:bCs/>
          <w:color w:val="auto"/>
          <w:szCs w:val="20"/>
        </w:rPr>
        <w:t>a</w:t>
      </w:r>
      <w:r w:rsidR="005B4379" w:rsidRPr="00AC3B61">
        <w:rPr>
          <w:bCs/>
          <w:color w:val="auto"/>
          <w:szCs w:val="20"/>
        </w:rPr>
        <w:t xml:space="preserve">o plano de contingência, os parâmetros, as metodologias, os critérios, </w:t>
      </w:r>
      <w:r w:rsidRPr="00AC3B61">
        <w:rPr>
          <w:bCs/>
          <w:color w:val="auto"/>
          <w:szCs w:val="20"/>
        </w:rPr>
        <w:t>a</w:t>
      </w:r>
      <w:r w:rsidR="005B4379" w:rsidRPr="00AC3B61">
        <w:rPr>
          <w:bCs/>
          <w:color w:val="auto"/>
          <w:szCs w:val="20"/>
        </w:rPr>
        <w:t>s</w:t>
      </w:r>
      <w:r w:rsidRPr="00AC3B61">
        <w:rPr>
          <w:bCs/>
          <w:color w:val="auto"/>
          <w:szCs w:val="20"/>
        </w:rPr>
        <w:t xml:space="preserve"> modalidade</w:t>
      </w:r>
      <w:r w:rsidR="005B4379" w:rsidRPr="00AC3B61">
        <w:rPr>
          <w:bCs/>
          <w:color w:val="auto"/>
          <w:szCs w:val="20"/>
        </w:rPr>
        <w:t>s</w:t>
      </w:r>
      <w:r w:rsidRPr="00AC3B61">
        <w:rPr>
          <w:bCs/>
          <w:color w:val="auto"/>
          <w:szCs w:val="20"/>
        </w:rPr>
        <w:t xml:space="preserve"> e os limites legais e operacionais, buscando a mais adequada </w:t>
      </w:r>
      <w:r w:rsidR="008F62A7" w:rsidRPr="00AC3B61">
        <w:rPr>
          <w:bCs/>
          <w:color w:val="auto"/>
          <w:szCs w:val="20"/>
        </w:rPr>
        <w:t xml:space="preserve">gestão e </w:t>
      </w:r>
      <w:r w:rsidRPr="00AC3B61">
        <w:rPr>
          <w:bCs/>
          <w:color w:val="auto"/>
          <w:szCs w:val="20"/>
        </w:rPr>
        <w:t>alocação dos</w:t>
      </w:r>
      <w:r w:rsidR="000D3FB8" w:rsidRPr="00AC3B61">
        <w:rPr>
          <w:bCs/>
          <w:color w:val="auto"/>
          <w:szCs w:val="20"/>
        </w:rPr>
        <w:t xml:space="preserve"> seus </w:t>
      </w:r>
      <w:r w:rsidR="008F62A7" w:rsidRPr="00AC3B61">
        <w:rPr>
          <w:bCs/>
          <w:color w:val="auto"/>
          <w:szCs w:val="20"/>
        </w:rPr>
        <w:t xml:space="preserve">recursos, visando minimamente o atendimento </w:t>
      </w:r>
      <w:r w:rsidRPr="00AC3B61">
        <w:rPr>
          <w:bCs/>
          <w:color w:val="auto"/>
          <w:szCs w:val="20"/>
        </w:rPr>
        <w:t xml:space="preserve">aos requisitos da Resolução CMN nº </w:t>
      </w:r>
      <w:r w:rsidR="008F62A7" w:rsidRPr="00AC3B61">
        <w:rPr>
          <w:bCs/>
          <w:color w:val="auto"/>
          <w:szCs w:val="20"/>
        </w:rPr>
        <w:t>4.963</w:t>
      </w:r>
      <w:r w:rsidR="00ED3205" w:rsidRPr="00AC3B61">
        <w:rPr>
          <w:bCs/>
          <w:color w:val="auto"/>
          <w:szCs w:val="20"/>
        </w:rPr>
        <w:t>/2021</w:t>
      </w:r>
      <w:r w:rsidRPr="00AC3B61">
        <w:rPr>
          <w:bCs/>
          <w:color w:val="auto"/>
          <w:szCs w:val="20"/>
        </w:rPr>
        <w:t>.</w:t>
      </w:r>
    </w:p>
    <w:p w14:paraId="049BE270" w14:textId="70BEC94F" w:rsidR="00B80178" w:rsidRPr="00AC3B61" w:rsidRDefault="00940C49" w:rsidP="00272363">
      <w:pPr>
        <w:pStyle w:val="Ttulo1"/>
        <w:spacing w:before="360"/>
        <w:rPr>
          <w:color w:val="auto"/>
        </w:rPr>
      </w:pPr>
      <w:bookmarkStart w:id="5" w:name="_Toc90997471"/>
      <w:r w:rsidRPr="00AC3B61">
        <w:rPr>
          <w:color w:val="auto"/>
        </w:rPr>
        <w:t xml:space="preserve">PERFIL DE </w:t>
      </w:r>
      <w:r w:rsidR="00740DD1" w:rsidRPr="00AC3B61">
        <w:rPr>
          <w:color w:val="auto"/>
        </w:rPr>
        <w:t>INVESTIDOR</w:t>
      </w:r>
      <w:bookmarkEnd w:id="5"/>
    </w:p>
    <w:p w14:paraId="6D80A9CF" w14:textId="77777777" w:rsidR="00B706AD" w:rsidRPr="00AC3B61" w:rsidRDefault="00FF2886" w:rsidP="00272363">
      <w:pPr>
        <w:rPr>
          <w:color w:val="auto"/>
        </w:rPr>
      </w:pPr>
      <w:r w:rsidRPr="00AC3B61">
        <w:rPr>
          <w:color w:val="auto"/>
        </w:rPr>
        <w:t>Segundo o disposto na Instrução CVM n° 554/2014 e Portaria MPS n° 300</w:t>
      </w:r>
      <w:r w:rsidR="00B706AD" w:rsidRPr="00AC3B61">
        <w:rPr>
          <w:color w:val="auto"/>
        </w:rPr>
        <w:t>/</w:t>
      </w:r>
      <w:r w:rsidRPr="00AC3B61">
        <w:rPr>
          <w:color w:val="auto"/>
        </w:rPr>
        <w:t xml:space="preserve">2015 e alterações, fica definido que os Regimes Próprios de Previdência Social classificados como Investidores Qualificados deverão apresentar </w:t>
      </w:r>
      <w:r w:rsidRPr="00AC3B61">
        <w:rPr>
          <w:b/>
          <w:bCs/>
          <w:color w:val="auto"/>
        </w:rPr>
        <w:t>cumulativamente</w:t>
      </w:r>
      <w:r w:rsidR="00B706AD" w:rsidRPr="00AC3B61">
        <w:rPr>
          <w:color w:val="auto"/>
        </w:rPr>
        <w:t>:</w:t>
      </w:r>
    </w:p>
    <w:p w14:paraId="5F5AD350" w14:textId="77777777" w:rsidR="00272363" w:rsidRPr="00A22044" w:rsidRDefault="00FF2886" w:rsidP="00272363">
      <w:pPr>
        <w:pStyle w:val="PargrafodaLista"/>
        <w:numPr>
          <w:ilvl w:val="0"/>
          <w:numId w:val="29"/>
        </w:numPr>
        <w:rPr>
          <w:color w:val="auto"/>
        </w:rPr>
      </w:pPr>
      <w:r w:rsidRPr="00A22044">
        <w:rPr>
          <w:color w:val="auto"/>
        </w:rPr>
        <w:lastRenderedPageBreak/>
        <w:t>Certificado de Regularidade Previdenciário – CRP vigente na data da realização de cada aplicação exclusiva para tal categoria de investidor;</w:t>
      </w:r>
    </w:p>
    <w:p w14:paraId="7CD06FEC" w14:textId="77777777" w:rsidR="00272363" w:rsidRPr="00A22044" w:rsidRDefault="00272363" w:rsidP="00272363">
      <w:pPr>
        <w:pStyle w:val="PargrafodaLista"/>
        <w:rPr>
          <w:color w:val="auto"/>
        </w:rPr>
      </w:pPr>
    </w:p>
    <w:p w14:paraId="5B157917" w14:textId="77777777" w:rsidR="00272363" w:rsidRPr="00A22044" w:rsidRDefault="00FF2886" w:rsidP="00272363">
      <w:pPr>
        <w:pStyle w:val="PargrafodaLista"/>
        <w:numPr>
          <w:ilvl w:val="0"/>
          <w:numId w:val="29"/>
        </w:numPr>
        <w:rPr>
          <w:color w:val="auto"/>
        </w:rPr>
      </w:pPr>
      <w:r w:rsidRPr="00A22044">
        <w:rPr>
          <w:color w:val="auto"/>
        </w:rPr>
        <w:t xml:space="preserve">Possua recursos aplicados comprovados por </w:t>
      </w:r>
      <w:r w:rsidR="00B706AD" w:rsidRPr="00A22044">
        <w:rPr>
          <w:color w:val="auto"/>
        </w:rPr>
        <w:t xml:space="preserve">meio do </w:t>
      </w:r>
      <w:r w:rsidRPr="00A22044">
        <w:rPr>
          <w:color w:val="auto"/>
        </w:rPr>
        <w:t>Demonstrativo das Aplicações e Investimentos dos Recursos – DAIR</w:t>
      </w:r>
      <w:r w:rsidR="00B706AD" w:rsidRPr="00A22044">
        <w:rPr>
          <w:color w:val="auto"/>
        </w:rPr>
        <w:t>,</w:t>
      </w:r>
      <w:r w:rsidRPr="00A22044">
        <w:rPr>
          <w:color w:val="auto"/>
        </w:rPr>
        <w:t xml:space="preserve"> o montante </w:t>
      </w:r>
      <w:r w:rsidR="007B66D8" w:rsidRPr="00A22044">
        <w:rPr>
          <w:color w:val="auto"/>
        </w:rPr>
        <w:t>igual ou superior à</w:t>
      </w:r>
      <w:r w:rsidRPr="00A22044">
        <w:rPr>
          <w:color w:val="auto"/>
        </w:rPr>
        <w:t xml:space="preserve"> R$ 10.000.000,00 (dez milhões de reais);</w:t>
      </w:r>
    </w:p>
    <w:p w14:paraId="61D34743" w14:textId="77777777" w:rsidR="00272363" w:rsidRPr="00A22044" w:rsidRDefault="00272363" w:rsidP="00272363">
      <w:pPr>
        <w:pStyle w:val="PargrafodaLista"/>
        <w:rPr>
          <w:color w:val="auto"/>
        </w:rPr>
      </w:pPr>
    </w:p>
    <w:p w14:paraId="28FB482E" w14:textId="77777777" w:rsidR="00272363" w:rsidRPr="00A22044" w:rsidRDefault="00FF2886" w:rsidP="00272363">
      <w:pPr>
        <w:pStyle w:val="PargrafodaLista"/>
        <w:numPr>
          <w:ilvl w:val="0"/>
          <w:numId w:val="29"/>
        </w:numPr>
        <w:rPr>
          <w:color w:val="auto"/>
        </w:rPr>
      </w:pPr>
      <w:r w:rsidRPr="00A22044">
        <w:rPr>
          <w:color w:val="auto"/>
        </w:rPr>
        <w:t xml:space="preserve">Comprove </w:t>
      </w:r>
      <w:r w:rsidR="007B66D8" w:rsidRPr="00A22044">
        <w:rPr>
          <w:color w:val="auto"/>
        </w:rPr>
        <w:t xml:space="preserve">a efetiva formalização e </w:t>
      </w:r>
      <w:r w:rsidRPr="00A22044">
        <w:rPr>
          <w:color w:val="auto"/>
        </w:rPr>
        <w:t>funcionamento do Comitê de Investimentos e</w:t>
      </w:r>
    </w:p>
    <w:p w14:paraId="4B0CCDF9" w14:textId="77777777" w:rsidR="00272363" w:rsidRPr="00A22044" w:rsidRDefault="00272363" w:rsidP="00272363">
      <w:pPr>
        <w:pStyle w:val="PargrafodaLista"/>
        <w:rPr>
          <w:color w:val="auto"/>
        </w:rPr>
      </w:pPr>
    </w:p>
    <w:p w14:paraId="4D8E7001" w14:textId="450697D3" w:rsidR="00FF2886" w:rsidRPr="00A22044" w:rsidRDefault="00DC4108" w:rsidP="00272363">
      <w:pPr>
        <w:pStyle w:val="PargrafodaLista"/>
        <w:numPr>
          <w:ilvl w:val="0"/>
          <w:numId w:val="29"/>
        </w:numPr>
        <w:rPr>
          <w:color w:val="auto"/>
        </w:rPr>
      </w:pPr>
      <w:r w:rsidRPr="00A22044">
        <w:rPr>
          <w:color w:val="auto"/>
        </w:rPr>
        <w:t>Tenha aderido ao Programa de Certificação Institucional Pró-Gestão e obtido a certificação institucional em um dos níveis de aderência</w:t>
      </w:r>
      <w:r w:rsidR="00FF2886" w:rsidRPr="00A22044">
        <w:rPr>
          <w:color w:val="auto"/>
        </w:rPr>
        <w:t>.</w:t>
      </w:r>
    </w:p>
    <w:p w14:paraId="6C15BA96" w14:textId="2E850E99" w:rsidR="00FF2886" w:rsidRPr="00A22044" w:rsidRDefault="00DC4108" w:rsidP="00272363">
      <w:pPr>
        <w:rPr>
          <w:color w:val="auto"/>
        </w:rPr>
      </w:pPr>
      <w:r w:rsidRPr="00A22044">
        <w:rPr>
          <w:color w:val="auto"/>
        </w:rPr>
        <w:t xml:space="preserve">Para obter a </w:t>
      </w:r>
      <w:r w:rsidR="00FF2886" w:rsidRPr="00A22044">
        <w:rPr>
          <w:color w:val="auto"/>
        </w:rPr>
        <w:t xml:space="preserve">classificação </w:t>
      </w:r>
      <w:r w:rsidRPr="00A22044">
        <w:rPr>
          <w:color w:val="auto"/>
        </w:rPr>
        <w:t>de</w:t>
      </w:r>
      <w:r w:rsidR="00FF2886" w:rsidRPr="00A22044">
        <w:rPr>
          <w:color w:val="auto"/>
        </w:rPr>
        <w:t xml:space="preserve"> Investidor Profissional, o R</w:t>
      </w:r>
      <w:r w:rsidRPr="00A22044">
        <w:rPr>
          <w:color w:val="auto"/>
        </w:rPr>
        <w:t>egime Próprio de Previdência Social fica</w:t>
      </w:r>
      <w:r w:rsidR="00B8626C" w:rsidRPr="00A22044">
        <w:rPr>
          <w:color w:val="auto"/>
        </w:rPr>
        <w:t xml:space="preserve"> obrigado a comprovar </w:t>
      </w:r>
      <w:r w:rsidR="00FF2886" w:rsidRPr="00A22044">
        <w:rPr>
          <w:color w:val="auto"/>
        </w:rPr>
        <w:t xml:space="preserve">as mesmas condições </w:t>
      </w:r>
      <w:r w:rsidR="00FF2886" w:rsidRPr="00A22044">
        <w:rPr>
          <w:b/>
          <w:bCs/>
          <w:color w:val="auto"/>
        </w:rPr>
        <w:t>cumulativas</w:t>
      </w:r>
      <w:r w:rsidR="00B8626C" w:rsidRPr="00A22044">
        <w:rPr>
          <w:color w:val="auto"/>
        </w:rPr>
        <w:t xml:space="preserve"> descritas acima</w:t>
      </w:r>
      <w:r w:rsidR="00FF2886" w:rsidRPr="00A22044">
        <w:rPr>
          <w:color w:val="auto"/>
        </w:rPr>
        <w:t xml:space="preserve">, </w:t>
      </w:r>
      <w:r w:rsidR="00B8626C" w:rsidRPr="00A22044">
        <w:rPr>
          <w:color w:val="auto"/>
        </w:rPr>
        <w:t>tendo o</w:t>
      </w:r>
      <w:r w:rsidR="00FF2886" w:rsidRPr="00A22044">
        <w:rPr>
          <w:color w:val="auto"/>
        </w:rPr>
        <w:t xml:space="preserve"> item “d” </w:t>
      </w:r>
      <w:r w:rsidR="00B8626C" w:rsidRPr="00A22044">
        <w:rPr>
          <w:color w:val="auto"/>
        </w:rPr>
        <w:t>a seguinte descrição</w:t>
      </w:r>
      <w:r w:rsidR="00FF2886" w:rsidRPr="00A22044">
        <w:rPr>
          <w:color w:val="auto"/>
        </w:rPr>
        <w:t>: “tenha aderido ao Programa de Certificação Institucional Pró-Gestão e obtido a certificação institucional Nível IV de adesão”.</w:t>
      </w:r>
    </w:p>
    <w:p w14:paraId="7A350CC0" w14:textId="684B2885" w:rsidR="00B8626C" w:rsidRPr="00A22044" w:rsidRDefault="00B8626C" w:rsidP="00272363">
      <w:pPr>
        <w:rPr>
          <w:color w:val="auto"/>
        </w:rPr>
      </w:pPr>
      <w:r w:rsidRPr="00A22044">
        <w:rPr>
          <w:color w:val="auto"/>
        </w:rPr>
        <w:t xml:space="preserve">Para a identificação </w:t>
      </w:r>
      <w:r w:rsidR="0071019C" w:rsidRPr="00A22044">
        <w:rPr>
          <w:color w:val="auto"/>
        </w:rPr>
        <w:t xml:space="preserve">do Perfil de Investidor do </w:t>
      </w:r>
      <w:r w:rsidR="006C2BD7" w:rsidRPr="00A22044">
        <w:rPr>
          <w:bCs/>
          <w:color w:val="auto"/>
          <w:szCs w:val="20"/>
        </w:rPr>
        <w:t>Instituto de Previdência dos Servidores Públicos do Município de Pitangueiras - PITANPREV</w:t>
      </w:r>
      <w:r w:rsidR="0071019C" w:rsidRPr="00A22044">
        <w:rPr>
          <w:color w:val="auto"/>
        </w:rPr>
        <w:t>, considera</w:t>
      </w:r>
      <w:r w:rsidR="00F07673" w:rsidRPr="00A22044">
        <w:rPr>
          <w:color w:val="auto"/>
        </w:rPr>
        <w:t>mos as seguintes informações:</w:t>
      </w:r>
    </w:p>
    <w:tbl>
      <w:tblPr>
        <w:tblStyle w:val="TabeladeLista1Clara-nfase31"/>
        <w:tblW w:w="0" w:type="auto"/>
        <w:tblLook w:val="04A0" w:firstRow="1" w:lastRow="0" w:firstColumn="1" w:lastColumn="0" w:noHBand="0" w:noVBand="1"/>
      </w:tblPr>
      <w:tblGrid>
        <w:gridCol w:w="4530"/>
        <w:gridCol w:w="4531"/>
      </w:tblGrid>
      <w:tr w:rsidR="00940C49" w:rsidRPr="00A22044" w14:paraId="7A531955" w14:textId="77777777" w:rsidTr="00BF5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2"/>
            <w:vAlign w:val="center"/>
          </w:tcPr>
          <w:p w14:paraId="6BF392C9" w14:textId="4CA4B344" w:rsidR="00940C49" w:rsidRPr="00A22044" w:rsidRDefault="00F07673" w:rsidP="00BF5125">
            <w:pPr>
              <w:spacing w:line="360" w:lineRule="auto"/>
              <w:jc w:val="center"/>
              <w:rPr>
                <w:color w:val="auto"/>
                <w:sz w:val="20"/>
                <w:szCs w:val="20"/>
              </w:rPr>
            </w:pPr>
            <w:r w:rsidRPr="00A22044">
              <w:rPr>
                <w:color w:val="auto"/>
                <w:sz w:val="20"/>
                <w:szCs w:val="20"/>
              </w:rPr>
              <w:t xml:space="preserve">ANÁLISE DO </w:t>
            </w:r>
            <w:r w:rsidR="00940C49" w:rsidRPr="00A22044">
              <w:rPr>
                <w:color w:val="auto"/>
                <w:sz w:val="20"/>
                <w:szCs w:val="20"/>
              </w:rPr>
              <w:t>PERFIL DE INVESTIDOR</w:t>
            </w:r>
          </w:p>
        </w:tc>
      </w:tr>
      <w:tr w:rsidR="00940C49" w:rsidRPr="00A22044" w14:paraId="50DCAA6E"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DFFE2EB" w14:textId="77777777" w:rsidR="00940C49" w:rsidRPr="00A22044" w:rsidRDefault="00940C49" w:rsidP="00940C49">
            <w:pPr>
              <w:spacing w:line="360" w:lineRule="auto"/>
              <w:jc w:val="left"/>
              <w:rPr>
                <w:color w:val="auto"/>
                <w:sz w:val="20"/>
                <w:szCs w:val="20"/>
              </w:rPr>
            </w:pPr>
            <w:r w:rsidRPr="00A22044">
              <w:rPr>
                <w:color w:val="auto"/>
                <w:sz w:val="20"/>
                <w:szCs w:val="20"/>
              </w:rPr>
              <w:t>Patrimônio Líquido sob gestão (R$)</w:t>
            </w:r>
          </w:p>
        </w:tc>
        <w:tc>
          <w:tcPr>
            <w:tcW w:w="4531" w:type="dxa"/>
            <w:vAlign w:val="center"/>
          </w:tcPr>
          <w:p w14:paraId="1CB1176E" w14:textId="5412BC28" w:rsidR="00940C49" w:rsidRPr="00A22044" w:rsidRDefault="006C2BD7" w:rsidP="00940C49">
            <w:pPr>
              <w:spacing w:line="360" w:lineRule="auto"/>
              <w:jc w:val="left"/>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22044">
              <w:rPr>
                <w:b/>
                <w:bCs/>
                <w:color w:val="auto"/>
                <w:sz w:val="20"/>
                <w:szCs w:val="20"/>
              </w:rPr>
              <w:t>107.783.675,75</w:t>
            </w:r>
          </w:p>
        </w:tc>
      </w:tr>
      <w:tr w:rsidR="00940C49" w:rsidRPr="00A22044" w14:paraId="113D365F" w14:textId="77777777" w:rsidTr="00940C49">
        <w:tc>
          <w:tcPr>
            <w:cnfStyle w:val="001000000000" w:firstRow="0" w:lastRow="0" w:firstColumn="1" w:lastColumn="0" w:oddVBand="0" w:evenVBand="0" w:oddHBand="0" w:evenHBand="0" w:firstRowFirstColumn="0" w:firstRowLastColumn="0" w:lastRowFirstColumn="0" w:lastRowLastColumn="0"/>
            <w:tcW w:w="4530" w:type="dxa"/>
            <w:vAlign w:val="center"/>
          </w:tcPr>
          <w:p w14:paraId="3C832523" w14:textId="77777777" w:rsidR="00940C49" w:rsidRPr="00A22044" w:rsidRDefault="00940C49" w:rsidP="00940C49">
            <w:pPr>
              <w:spacing w:line="360" w:lineRule="auto"/>
              <w:jc w:val="left"/>
              <w:rPr>
                <w:color w:val="auto"/>
                <w:sz w:val="20"/>
                <w:szCs w:val="20"/>
              </w:rPr>
            </w:pPr>
            <w:r w:rsidRPr="00A22044">
              <w:rPr>
                <w:color w:val="auto"/>
                <w:sz w:val="20"/>
                <w:szCs w:val="20"/>
              </w:rPr>
              <w:t>Certificado de Regularidade Previdenciário – CRP</w:t>
            </w:r>
          </w:p>
        </w:tc>
        <w:tc>
          <w:tcPr>
            <w:tcW w:w="4531" w:type="dxa"/>
            <w:vAlign w:val="center"/>
          </w:tcPr>
          <w:p w14:paraId="0E348E21" w14:textId="3D2F0EC8" w:rsidR="00940C49" w:rsidRPr="00A22044" w:rsidRDefault="006C2BD7" w:rsidP="00940C49">
            <w:pPr>
              <w:spacing w:line="36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A22044">
              <w:rPr>
                <w:color w:val="auto"/>
                <w:sz w:val="20"/>
                <w:szCs w:val="20"/>
              </w:rPr>
              <w:t>24/05/2022</w:t>
            </w:r>
          </w:p>
        </w:tc>
      </w:tr>
      <w:tr w:rsidR="00940C49" w:rsidRPr="00A22044" w14:paraId="39A40F36"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745B9EB2" w14:textId="77777777" w:rsidR="00940C49" w:rsidRPr="00A22044" w:rsidRDefault="00940C49" w:rsidP="00940C49">
            <w:pPr>
              <w:spacing w:line="360" w:lineRule="auto"/>
              <w:jc w:val="left"/>
              <w:rPr>
                <w:color w:val="auto"/>
                <w:sz w:val="20"/>
                <w:szCs w:val="20"/>
              </w:rPr>
            </w:pPr>
            <w:r w:rsidRPr="00A22044">
              <w:rPr>
                <w:color w:val="auto"/>
                <w:sz w:val="20"/>
                <w:szCs w:val="20"/>
              </w:rPr>
              <w:t>Comitê de Investimentos</w:t>
            </w:r>
          </w:p>
        </w:tc>
        <w:tc>
          <w:tcPr>
            <w:tcW w:w="4531" w:type="dxa"/>
            <w:vAlign w:val="center"/>
          </w:tcPr>
          <w:p w14:paraId="79E3F7BD" w14:textId="08C11CD1" w:rsidR="00940C49" w:rsidRPr="00A22044" w:rsidRDefault="006C2BD7" w:rsidP="00940C49">
            <w:pPr>
              <w:spacing w:line="36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A22044">
              <w:rPr>
                <w:color w:val="auto"/>
                <w:sz w:val="20"/>
                <w:szCs w:val="20"/>
              </w:rPr>
              <w:t xml:space="preserve">DECRETO Nº </w:t>
            </w:r>
            <w:r w:rsidR="00AC3B61">
              <w:rPr>
                <w:color w:val="auto"/>
                <w:sz w:val="20"/>
                <w:szCs w:val="20"/>
              </w:rPr>
              <w:t>3.908 de 31/05/2017</w:t>
            </w:r>
          </w:p>
        </w:tc>
      </w:tr>
      <w:tr w:rsidR="00940C49" w:rsidRPr="00A22044" w14:paraId="4CDCD762" w14:textId="77777777" w:rsidTr="00940C49">
        <w:tc>
          <w:tcPr>
            <w:cnfStyle w:val="001000000000" w:firstRow="0" w:lastRow="0" w:firstColumn="1" w:lastColumn="0" w:oddVBand="0" w:evenVBand="0" w:oddHBand="0" w:evenHBand="0" w:firstRowFirstColumn="0" w:firstRowLastColumn="0" w:lastRowFirstColumn="0" w:lastRowLastColumn="0"/>
            <w:tcW w:w="4530" w:type="dxa"/>
            <w:vAlign w:val="center"/>
          </w:tcPr>
          <w:p w14:paraId="79A3BAA9" w14:textId="275545BA" w:rsidR="00940C49" w:rsidRPr="00A22044" w:rsidRDefault="00940C49" w:rsidP="00940C49">
            <w:pPr>
              <w:spacing w:line="360" w:lineRule="auto"/>
              <w:jc w:val="left"/>
              <w:rPr>
                <w:color w:val="auto"/>
                <w:sz w:val="20"/>
                <w:szCs w:val="20"/>
              </w:rPr>
            </w:pPr>
            <w:r w:rsidRPr="00A22044">
              <w:rPr>
                <w:color w:val="auto"/>
                <w:sz w:val="20"/>
                <w:szCs w:val="20"/>
              </w:rPr>
              <w:t>Nível de Aderência ao Pró-Gestão</w:t>
            </w:r>
          </w:p>
        </w:tc>
        <w:tc>
          <w:tcPr>
            <w:tcW w:w="4531" w:type="dxa"/>
            <w:vAlign w:val="center"/>
          </w:tcPr>
          <w:p w14:paraId="193CCEF9" w14:textId="20CABEBF" w:rsidR="00940C49" w:rsidRPr="00A22044" w:rsidRDefault="004569F7" w:rsidP="00940C49">
            <w:pPr>
              <w:spacing w:line="36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Adesão em 22/04/2021</w:t>
            </w:r>
          </w:p>
        </w:tc>
      </w:tr>
      <w:tr w:rsidR="00940C49" w:rsidRPr="00A22044" w14:paraId="1BD6EBCA" w14:textId="77777777" w:rsidTr="00BF5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030ED0BE" w14:textId="77777777" w:rsidR="00940C49" w:rsidRPr="00A22044" w:rsidRDefault="00940C49" w:rsidP="00BF5125">
            <w:pPr>
              <w:spacing w:line="360" w:lineRule="auto"/>
              <w:jc w:val="left"/>
              <w:rPr>
                <w:color w:val="auto"/>
                <w:sz w:val="20"/>
                <w:szCs w:val="20"/>
              </w:rPr>
            </w:pPr>
            <w:r w:rsidRPr="00A22044">
              <w:rPr>
                <w:color w:val="auto"/>
                <w:sz w:val="20"/>
                <w:szCs w:val="20"/>
              </w:rPr>
              <w:t>Vencimento da Certificação</w:t>
            </w:r>
          </w:p>
        </w:tc>
        <w:tc>
          <w:tcPr>
            <w:tcW w:w="4531" w:type="dxa"/>
            <w:vAlign w:val="center"/>
          </w:tcPr>
          <w:p w14:paraId="6A6ABCB9" w14:textId="1D045EDC" w:rsidR="00940C49" w:rsidRPr="004569F7" w:rsidRDefault="004569F7" w:rsidP="00BF5125">
            <w:pPr>
              <w:spacing w:line="36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t>
            </w:r>
          </w:p>
        </w:tc>
      </w:tr>
    </w:tbl>
    <w:p w14:paraId="2FBDE13D" w14:textId="77777777" w:rsidR="00696FC7" w:rsidRDefault="00696FC7" w:rsidP="008B0970"/>
    <w:p w14:paraId="5DBFDAE8" w14:textId="3DF54D21" w:rsidR="00FD17BC" w:rsidRPr="00A22044" w:rsidRDefault="00FB7BF2" w:rsidP="008B0970">
      <w:pPr>
        <w:rPr>
          <w:color w:val="auto"/>
        </w:rPr>
      </w:pPr>
      <w:r w:rsidRPr="00A22044">
        <w:rPr>
          <w:color w:val="auto"/>
        </w:rPr>
        <w:t xml:space="preserve">O </w:t>
      </w:r>
      <w:r w:rsidR="006C2BD7" w:rsidRPr="00A22044">
        <w:rPr>
          <w:bCs/>
          <w:color w:val="auto"/>
          <w:szCs w:val="20"/>
        </w:rPr>
        <w:t>Instituto de Previdência dos Servidores Públicos do Município de Pitangueiras - PITANPREV</w:t>
      </w:r>
      <w:r w:rsidRPr="00A22044">
        <w:rPr>
          <w:color w:val="auto"/>
        </w:rPr>
        <w:t>, no momento da elaboração e aprovação da</w:t>
      </w:r>
      <w:r w:rsidR="0037394D" w:rsidRPr="00A22044">
        <w:rPr>
          <w:color w:val="auto"/>
        </w:rPr>
        <w:t xml:space="preserve"> dessa </w:t>
      </w:r>
      <w:r w:rsidRPr="00A22044">
        <w:rPr>
          <w:color w:val="auto"/>
        </w:rPr>
        <w:t xml:space="preserve">Política de Investimentos está classificado como </w:t>
      </w:r>
      <w:r w:rsidR="006C2BD7" w:rsidRPr="00A22044">
        <w:rPr>
          <w:color w:val="auto"/>
        </w:rPr>
        <w:t>Investidor Comum.</w:t>
      </w:r>
    </w:p>
    <w:p w14:paraId="60649100" w14:textId="5A353F2F" w:rsidR="004E1136" w:rsidRPr="00A22044" w:rsidRDefault="00B171EC" w:rsidP="008B0970">
      <w:pPr>
        <w:rPr>
          <w:color w:val="auto"/>
        </w:rPr>
      </w:pPr>
      <w:r w:rsidRPr="00A22044">
        <w:rPr>
          <w:color w:val="auto"/>
        </w:rPr>
        <w:t xml:space="preserve">Na obtenção da Certificação Institucional Pró-Gestão, </w:t>
      </w:r>
      <w:r w:rsidR="00017240" w:rsidRPr="00A22044">
        <w:rPr>
          <w:color w:val="auto"/>
        </w:rPr>
        <w:t xml:space="preserve">a classificação </w:t>
      </w:r>
      <w:r w:rsidR="005D1E74" w:rsidRPr="00A22044">
        <w:rPr>
          <w:color w:val="auto"/>
        </w:rPr>
        <w:t xml:space="preserve">de </w:t>
      </w:r>
      <w:r w:rsidR="00017240" w:rsidRPr="00A22044">
        <w:rPr>
          <w:color w:val="auto"/>
        </w:rPr>
        <w:t>Investidor</w:t>
      </w:r>
      <w:r w:rsidR="005D1E74" w:rsidRPr="00A22044">
        <w:rPr>
          <w:color w:val="auto"/>
        </w:rPr>
        <w:t xml:space="preserve"> </w:t>
      </w:r>
      <w:r w:rsidR="00017240" w:rsidRPr="00A22044">
        <w:rPr>
          <w:color w:val="auto"/>
        </w:rPr>
        <w:t>mudará automaticamente</w:t>
      </w:r>
      <w:r w:rsidR="00670BEF" w:rsidRPr="00A22044">
        <w:rPr>
          <w:color w:val="auto"/>
        </w:rPr>
        <w:t xml:space="preserve">, </w:t>
      </w:r>
      <w:r w:rsidRPr="00A22044">
        <w:rPr>
          <w:color w:val="auto"/>
        </w:rPr>
        <w:t xml:space="preserve">não </w:t>
      </w:r>
      <w:r w:rsidR="00922139" w:rsidRPr="00A22044">
        <w:rPr>
          <w:color w:val="auto"/>
        </w:rPr>
        <w:t xml:space="preserve">sendo o </w:t>
      </w:r>
      <w:r w:rsidR="006C2BD7" w:rsidRPr="00A22044">
        <w:rPr>
          <w:bCs/>
          <w:color w:val="auto"/>
          <w:szCs w:val="20"/>
        </w:rPr>
        <w:t>Instituto de Previdência dos Servidores Públicos do Município de Pitangueiras - PITANPREV</w:t>
      </w:r>
      <w:r w:rsidR="00922139" w:rsidRPr="00A22044">
        <w:rPr>
          <w:color w:val="auto"/>
        </w:rPr>
        <w:t xml:space="preserve"> </w:t>
      </w:r>
      <w:r w:rsidR="00B72235" w:rsidRPr="00A22044">
        <w:rPr>
          <w:color w:val="auto"/>
        </w:rPr>
        <w:t>prejudicando</w:t>
      </w:r>
      <w:r w:rsidR="00FF1ABC" w:rsidRPr="00A22044">
        <w:rPr>
          <w:color w:val="auto"/>
        </w:rPr>
        <w:t xml:space="preserve"> quanto aos processos e procedimentos internos e de controle</w:t>
      </w:r>
      <w:r w:rsidR="004E1136" w:rsidRPr="00A22044">
        <w:rPr>
          <w:color w:val="auto"/>
        </w:rPr>
        <w:t>.</w:t>
      </w:r>
    </w:p>
    <w:p w14:paraId="18DB195C" w14:textId="364BCAAD" w:rsidR="00FD17BC" w:rsidRPr="00A22044" w:rsidRDefault="004E1136" w:rsidP="008B0970">
      <w:pPr>
        <w:rPr>
          <w:color w:val="auto"/>
        </w:rPr>
      </w:pPr>
      <w:r w:rsidRPr="00A22044">
        <w:rPr>
          <w:color w:val="auto"/>
        </w:rPr>
        <w:t xml:space="preserve">Fica o </w:t>
      </w:r>
      <w:r w:rsidR="006C2BD7" w:rsidRPr="00A22044">
        <w:rPr>
          <w:bCs/>
          <w:color w:val="auto"/>
          <w:szCs w:val="20"/>
        </w:rPr>
        <w:t>Instituto de Previdência dos Servidores Públicos do Município de Pitangueiras - PITANPREV</w:t>
      </w:r>
      <w:r w:rsidRPr="00A22044">
        <w:rPr>
          <w:color w:val="auto"/>
        </w:rPr>
        <w:t xml:space="preserve"> </w:t>
      </w:r>
      <w:r w:rsidR="00A1559C" w:rsidRPr="00A22044">
        <w:rPr>
          <w:color w:val="auto"/>
        </w:rPr>
        <w:t>condicionado a</w:t>
      </w:r>
      <w:r w:rsidR="00922139" w:rsidRPr="00A22044">
        <w:rPr>
          <w:color w:val="auto"/>
        </w:rPr>
        <w:t xml:space="preserve">o </w:t>
      </w:r>
      <w:r w:rsidR="00B171EC" w:rsidRPr="00A22044">
        <w:rPr>
          <w:color w:val="auto"/>
        </w:rPr>
        <w:t xml:space="preserve">prazo de </w:t>
      </w:r>
      <w:r w:rsidR="00B171EC" w:rsidRPr="00A22044">
        <w:rPr>
          <w:b/>
          <w:bCs/>
          <w:color w:val="auto"/>
        </w:rPr>
        <w:t>60 (sessenta) dias</w:t>
      </w:r>
      <w:r w:rsidR="00B171EC" w:rsidRPr="00A22044">
        <w:rPr>
          <w:color w:val="auto"/>
        </w:rPr>
        <w:t xml:space="preserve"> para revisão e adequação d</w:t>
      </w:r>
      <w:r w:rsidR="000A2062" w:rsidRPr="00A22044">
        <w:rPr>
          <w:color w:val="auto"/>
        </w:rPr>
        <w:t>a</w:t>
      </w:r>
      <w:r w:rsidR="00B171EC" w:rsidRPr="00A22044">
        <w:rPr>
          <w:color w:val="auto"/>
        </w:rPr>
        <w:t xml:space="preserve"> Política de Investimentos em atendimento</w:t>
      </w:r>
      <w:r w:rsidR="00A1559C" w:rsidRPr="00A22044">
        <w:rPr>
          <w:color w:val="auto"/>
        </w:rPr>
        <w:t xml:space="preserve"> a nova classificação</w:t>
      </w:r>
      <w:r w:rsidR="00B171EC" w:rsidRPr="00A22044">
        <w:rPr>
          <w:color w:val="auto"/>
        </w:rPr>
        <w:t>.</w:t>
      </w:r>
    </w:p>
    <w:p w14:paraId="78FF6F21" w14:textId="77777777" w:rsidR="00D94308" w:rsidRPr="00A22044" w:rsidRDefault="00D94308" w:rsidP="008B0970">
      <w:pPr>
        <w:pStyle w:val="Ttulo1"/>
        <w:spacing w:before="360"/>
        <w:rPr>
          <w:color w:val="auto"/>
        </w:rPr>
      </w:pPr>
      <w:bookmarkStart w:id="6" w:name="_Toc435202747"/>
      <w:bookmarkStart w:id="7" w:name="_Toc490036553"/>
      <w:bookmarkStart w:id="8" w:name="_Toc90997472"/>
      <w:bookmarkStart w:id="9" w:name="_Toc435202741"/>
      <w:bookmarkStart w:id="10" w:name="_Toc490036546"/>
      <w:r w:rsidRPr="00A22044">
        <w:rPr>
          <w:color w:val="auto"/>
        </w:rPr>
        <w:t>ESTRUTURA DE GESTÃO</w:t>
      </w:r>
      <w:bookmarkEnd w:id="6"/>
      <w:bookmarkEnd w:id="7"/>
      <w:bookmarkEnd w:id="8"/>
    </w:p>
    <w:p w14:paraId="7A5730A8" w14:textId="3E067EF6" w:rsidR="00D94308" w:rsidRPr="00A22044" w:rsidRDefault="00D94308" w:rsidP="008B0970">
      <w:pPr>
        <w:rPr>
          <w:bCs/>
          <w:color w:val="auto"/>
          <w:szCs w:val="20"/>
        </w:rPr>
      </w:pPr>
      <w:r w:rsidRPr="00A22044">
        <w:rPr>
          <w:bCs/>
          <w:color w:val="auto"/>
          <w:szCs w:val="20"/>
        </w:rPr>
        <w:t xml:space="preserve">De acordo com as hipóteses previstas na Resolução CMN nº </w:t>
      </w:r>
      <w:r w:rsidR="00D95176" w:rsidRPr="00A22044">
        <w:rPr>
          <w:bCs/>
          <w:color w:val="auto"/>
          <w:szCs w:val="20"/>
        </w:rPr>
        <w:t>4.963/2021</w:t>
      </w:r>
      <w:r w:rsidRPr="00A22044">
        <w:rPr>
          <w:bCs/>
          <w:color w:val="auto"/>
          <w:szCs w:val="20"/>
        </w:rPr>
        <w:t xml:space="preserve">, a </w:t>
      </w:r>
      <w:r w:rsidR="00D95176" w:rsidRPr="00A22044">
        <w:rPr>
          <w:bCs/>
          <w:color w:val="auto"/>
          <w:szCs w:val="20"/>
        </w:rPr>
        <w:t xml:space="preserve">gestão </w:t>
      </w:r>
      <w:r w:rsidR="00850805" w:rsidRPr="00A22044">
        <w:rPr>
          <w:bCs/>
          <w:color w:val="auto"/>
          <w:szCs w:val="20"/>
        </w:rPr>
        <w:t>das</w:t>
      </w:r>
      <w:r w:rsidR="00D95176" w:rsidRPr="00A22044">
        <w:rPr>
          <w:bCs/>
          <w:color w:val="auto"/>
          <w:szCs w:val="20"/>
        </w:rPr>
        <w:t xml:space="preserve"> </w:t>
      </w:r>
      <w:r w:rsidRPr="00A22044">
        <w:rPr>
          <w:bCs/>
          <w:color w:val="auto"/>
          <w:szCs w:val="20"/>
        </w:rPr>
        <w:t>aplicaç</w:t>
      </w:r>
      <w:r w:rsidR="00850805" w:rsidRPr="00A22044">
        <w:rPr>
          <w:bCs/>
          <w:color w:val="auto"/>
          <w:szCs w:val="20"/>
        </w:rPr>
        <w:t>ões</w:t>
      </w:r>
      <w:r w:rsidRPr="00A22044">
        <w:rPr>
          <w:bCs/>
          <w:color w:val="auto"/>
          <w:szCs w:val="20"/>
        </w:rPr>
        <w:t xml:space="preserve"> dos </w:t>
      </w:r>
      <w:r w:rsidR="00D95176" w:rsidRPr="00A22044">
        <w:rPr>
          <w:bCs/>
          <w:color w:val="auto"/>
          <w:szCs w:val="20"/>
        </w:rPr>
        <w:t>recursos</w:t>
      </w:r>
      <w:r w:rsidRPr="00A22044">
        <w:rPr>
          <w:bCs/>
          <w:color w:val="auto"/>
          <w:szCs w:val="20"/>
        </w:rPr>
        <w:t xml:space="preserve"> </w:t>
      </w:r>
      <w:r w:rsidR="00D95176" w:rsidRPr="00A22044">
        <w:rPr>
          <w:bCs/>
          <w:color w:val="auto"/>
          <w:szCs w:val="20"/>
        </w:rPr>
        <w:t>poderá ser</w:t>
      </w:r>
      <w:r w:rsidRPr="00A22044">
        <w:rPr>
          <w:bCs/>
          <w:color w:val="auto"/>
          <w:szCs w:val="20"/>
        </w:rPr>
        <w:t xml:space="preserve"> realizada por </w:t>
      </w:r>
      <w:r w:rsidR="00D95176" w:rsidRPr="00A22044">
        <w:rPr>
          <w:bCs/>
          <w:color w:val="auto"/>
          <w:szCs w:val="20"/>
        </w:rPr>
        <w:t xml:space="preserve">meio </w:t>
      </w:r>
      <w:r w:rsidR="008469D6" w:rsidRPr="00A22044">
        <w:rPr>
          <w:bCs/>
          <w:color w:val="auto"/>
          <w:szCs w:val="20"/>
        </w:rPr>
        <w:t xml:space="preserve">de </w:t>
      </w:r>
      <w:r w:rsidRPr="00A22044">
        <w:rPr>
          <w:bCs/>
          <w:color w:val="auto"/>
          <w:szCs w:val="20"/>
        </w:rPr>
        <w:t>gestão própria, terceirizada ou mista.</w:t>
      </w:r>
    </w:p>
    <w:p w14:paraId="7DF29DFB" w14:textId="5A54543A" w:rsidR="00D94308" w:rsidRPr="00A22044" w:rsidRDefault="00D94308" w:rsidP="008B0970">
      <w:pPr>
        <w:rPr>
          <w:bCs/>
          <w:color w:val="auto"/>
          <w:szCs w:val="20"/>
        </w:rPr>
      </w:pPr>
      <w:r w:rsidRPr="00A22044">
        <w:rPr>
          <w:bCs/>
          <w:color w:val="auto"/>
          <w:szCs w:val="20"/>
        </w:rPr>
        <w:t xml:space="preserve">Para a </w:t>
      </w:r>
      <w:r w:rsidR="00850805" w:rsidRPr="00A22044">
        <w:rPr>
          <w:bCs/>
          <w:color w:val="auto"/>
          <w:szCs w:val="20"/>
        </w:rPr>
        <w:t>vigência</w:t>
      </w:r>
      <w:r w:rsidR="00C1506B" w:rsidRPr="00A22044">
        <w:rPr>
          <w:bCs/>
          <w:color w:val="auto"/>
          <w:szCs w:val="20"/>
        </w:rPr>
        <w:t xml:space="preserve"> </w:t>
      </w:r>
      <w:r w:rsidRPr="00A22044">
        <w:rPr>
          <w:bCs/>
          <w:color w:val="auto"/>
          <w:szCs w:val="20"/>
        </w:rPr>
        <w:t xml:space="preserve">desta Política de Investimentos, a gestão das aplicações dos recursos do </w:t>
      </w:r>
      <w:r w:rsidR="006C2BD7" w:rsidRPr="00A22044">
        <w:rPr>
          <w:bCs/>
          <w:color w:val="auto"/>
          <w:szCs w:val="20"/>
        </w:rPr>
        <w:t>Instituto de Previdência dos Servidores Públicos do Município de Pitangueiras - PITANPREV</w:t>
      </w:r>
      <w:r w:rsidRPr="00A22044">
        <w:rPr>
          <w:bCs/>
          <w:color w:val="auto"/>
          <w:szCs w:val="20"/>
        </w:rPr>
        <w:t xml:space="preserve"> será </w:t>
      </w:r>
      <w:r w:rsidRPr="00A22044">
        <w:rPr>
          <w:b/>
          <w:bCs/>
          <w:color w:val="auto"/>
          <w:szCs w:val="20"/>
        </w:rPr>
        <w:t>própria</w:t>
      </w:r>
      <w:r w:rsidRPr="00A22044">
        <w:rPr>
          <w:bCs/>
          <w:color w:val="auto"/>
          <w:szCs w:val="20"/>
        </w:rPr>
        <w:t>.</w:t>
      </w:r>
    </w:p>
    <w:p w14:paraId="21EE4FD6" w14:textId="0DBA0A25" w:rsidR="00D94308" w:rsidRPr="0026139D" w:rsidRDefault="00D94308" w:rsidP="00BB08FE">
      <w:pPr>
        <w:pStyle w:val="Ttulo2"/>
      </w:pPr>
      <w:bookmarkStart w:id="11" w:name="_Toc90997473"/>
      <w:r w:rsidRPr="0026139D">
        <w:lastRenderedPageBreak/>
        <w:t>GESTÃO PRÓPRIA</w:t>
      </w:r>
      <w:bookmarkEnd w:id="11"/>
    </w:p>
    <w:p w14:paraId="4E79998F" w14:textId="25C0E5F8" w:rsidR="00D94308" w:rsidRPr="00A22044" w:rsidRDefault="00D94308" w:rsidP="008B0970">
      <w:pPr>
        <w:rPr>
          <w:color w:val="auto"/>
        </w:rPr>
      </w:pPr>
      <w:r w:rsidRPr="00A22044">
        <w:rPr>
          <w:color w:val="auto"/>
        </w:rPr>
        <w:t>A adoção deste model</w:t>
      </w:r>
      <w:r w:rsidR="009061DA" w:rsidRPr="00A22044">
        <w:rPr>
          <w:color w:val="auto"/>
        </w:rPr>
        <w:t xml:space="preserve">o </w:t>
      </w:r>
      <w:r w:rsidRPr="00A22044">
        <w:rPr>
          <w:color w:val="auto"/>
        </w:rPr>
        <w:t xml:space="preserve">significa que </w:t>
      </w:r>
      <w:r w:rsidR="00036F1A" w:rsidRPr="00A22044">
        <w:rPr>
          <w:color w:val="auto"/>
        </w:rPr>
        <w:t>a</w:t>
      </w:r>
      <w:r w:rsidRPr="00A22044">
        <w:rPr>
          <w:color w:val="auto"/>
        </w:rPr>
        <w:t xml:space="preserve"> total</w:t>
      </w:r>
      <w:r w:rsidR="00036F1A" w:rsidRPr="00A22044">
        <w:rPr>
          <w:color w:val="auto"/>
        </w:rPr>
        <w:t>idade</w:t>
      </w:r>
      <w:r w:rsidRPr="00A22044">
        <w:rPr>
          <w:color w:val="auto"/>
        </w:rPr>
        <w:t xml:space="preserve"> dos recursos ficará sob a </w:t>
      </w:r>
      <w:r w:rsidR="00036F1A" w:rsidRPr="00A22044">
        <w:rPr>
          <w:color w:val="auto"/>
        </w:rPr>
        <w:t xml:space="preserve">gestão e </w:t>
      </w:r>
      <w:r w:rsidRPr="00A22044">
        <w:rPr>
          <w:color w:val="auto"/>
        </w:rPr>
        <w:t xml:space="preserve">responsabilidade do </w:t>
      </w:r>
      <w:r w:rsidR="006C2BD7" w:rsidRPr="00A22044">
        <w:rPr>
          <w:bCs/>
          <w:color w:val="auto"/>
          <w:szCs w:val="20"/>
        </w:rPr>
        <w:t>Instituto de Previdência dos Servidores Públicos do Município de Pitangueiras - PITANPREV</w:t>
      </w:r>
      <w:r w:rsidRPr="00A22044">
        <w:rPr>
          <w:b/>
          <w:color w:val="auto"/>
        </w:rPr>
        <w:t xml:space="preserve"> </w:t>
      </w:r>
      <w:r w:rsidRPr="00A22044">
        <w:rPr>
          <w:color w:val="auto"/>
        </w:rPr>
        <w:t xml:space="preserve">e </w:t>
      </w:r>
      <w:r w:rsidR="003B7128" w:rsidRPr="00A22044">
        <w:rPr>
          <w:color w:val="auto"/>
        </w:rPr>
        <w:t>d</w:t>
      </w:r>
      <w:r w:rsidRPr="00A22044">
        <w:rPr>
          <w:color w:val="auto"/>
        </w:rPr>
        <w:t xml:space="preserve">os </w:t>
      </w:r>
      <w:r w:rsidR="003E72FF" w:rsidRPr="00A22044">
        <w:rPr>
          <w:color w:val="auto"/>
        </w:rPr>
        <w:t xml:space="preserve">colaboradores </w:t>
      </w:r>
      <w:r w:rsidRPr="00A22044">
        <w:rPr>
          <w:color w:val="auto"/>
        </w:rPr>
        <w:t xml:space="preserve">diretamente </w:t>
      </w:r>
      <w:r w:rsidR="003E72FF" w:rsidRPr="00A22044">
        <w:rPr>
          <w:color w:val="auto"/>
        </w:rPr>
        <w:t xml:space="preserve">envolvidos </w:t>
      </w:r>
      <w:r w:rsidRPr="00A22044">
        <w:rPr>
          <w:color w:val="auto"/>
        </w:rPr>
        <w:t>no processo de</w:t>
      </w:r>
      <w:r w:rsidR="003E72FF" w:rsidRPr="00A22044">
        <w:rPr>
          <w:color w:val="auto"/>
        </w:rPr>
        <w:t xml:space="preserve"> Gestão dos Recursos ou Investimentos</w:t>
      </w:r>
      <w:r w:rsidRPr="00A22044">
        <w:rPr>
          <w:color w:val="auto"/>
        </w:rPr>
        <w:t>.</w:t>
      </w:r>
    </w:p>
    <w:p w14:paraId="5F35C8D3" w14:textId="6B0AB197" w:rsidR="00D44756" w:rsidRPr="00A22044" w:rsidRDefault="00D94308" w:rsidP="008B0970">
      <w:pPr>
        <w:rPr>
          <w:color w:val="auto"/>
        </w:rPr>
      </w:pPr>
      <w:r w:rsidRPr="00A22044">
        <w:rPr>
          <w:color w:val="auto"/>
        </w:rPr>
        <w:t>A gestão</w:t>
      </w:r>
      <w:r w:rsidR="003118C2" w:rsidRPr="00A22044">
        <w:rPr>
          <w:color w:val="auto"/>
        </w:rPr>
        <w:t xml:space="preserve"> das aplicações dos recursos</w:t>
      </w:r>
      <w:r w:rsidRPr="00A22044">
        <w:rPr>
          <w:color w:val="auto"/>
        </w:rPr>
        <w:t xml:space="preserve"> contará com profissionais qualificados e certificados por entidade de certificação reconhecida pelo Ministério </w:t>
      </w:r>
      <w:r w:rsidR="00A04694" w:rsidRPr="00A22044">
        <w:rPr>
          <w:color w:val="auto"/>
        </w:rPr>
        <w:t>do Trabalho e</w:t>
      </w:r>
      <w:r w:rsidRPr="00A22044">
        <w:rPr>
          <w:color w:val="auto"/>
        </w:rPr>
        <w:t xml:space="preserve"> Previdência, </w:t>
      </w:r>
      <w:r w:rsidR="00A04694" w:rsidRPr="00A22044">
        <w:rPr>
          <w:color w:val="auto"/>
        </w:rPr>
        <w:t xml:space="preserve">através da </w:t>
      </w:r>
      <w:r w:rsidR="005B2FC8" w:rsidRPr="00A22044">
        <w:rPr>
          <w:color w:val="auto"/>
        </w:rPr>
        <w:t xml:space="preserve">Secretária de Previdência Social, </w:t>
      </w:r>
      <w:r w:rsidRPr="00A22044">
        <w:rPr>
          <w:color w:val="auto"/>
        </w:rPr>
        <w:t>conforme exig</w:t>
      </w:r>
      <w:r w:rsidR="005B2FC8" w:rsidRPr="00A22044">
        <w:rPr>
          <w:color w:val="auto"/>
        </w:rPr>
        <w:t>ido</w:t>
      </w:r>
      <w:r w:rsidRPr="00A22044">
        <w:rPr>
          <w:color w:val="auto"/>
        </w:rPr>
        <w:t xml:space="preserve"> </w:t>
      </w:r>
      <w:r w:rsidR="005B2FC8" w:rsidRPr="00A22044">
        <w:rPr>
          <w:color w:val="auto"/>
        </w:rPr>
        <w:t>n</w:t>
      </w:r>
      <w:r w:rsidRPr="00A22044">
        <w:rPr>
          <w:color w:val="auto"/>
        </w:rPr>
        <w:t>a Portaria MPS nº 519</w:t>
      </w:r>
      <w:r w:rsidR="005B2FC8" w:rsidRPr="00A22044">
        <w:rPr>
          <w:color w:val="auto"/>
        </w:rPr>
        <w:t>/2</w:t>
      </w:r>
      <w:r w:rsidRPr="00A22044">
        <w:rPr>
          <w:color w:val="auto"/>
        </w:rPr>
        <w:t>011</w:t>
      </w:r>
      <w:r w:rsidR="00674771" w:rsidRPr="00A22044">
        <w:rPr>
          <w:color w:val="auto"/>
        </w:rPr>
        <w:t>.</w:t>
      </w:r>
    </w:p>
    <w:p w14:paraId="6CE19B8E" w14:textId="73725FF3" w:rsidR="006F1FD2" w:rsidRPr="00A22044" w:rsidRDefault="006F1FD2" w:rsidP="008B0970">
      <w:pPr>
        <w:rPr>
          <w:color w:val="auto"/>
        </w:rPr>
      </w:pPr>
      <w:r w:rsidRPr="00A22044">
        <w:rPr>
          <w:color w:val="auto"/>
        </w:rPr>
        <w:t xml:space="preserve">Os responsáveis pela gestão </w:t>
      </w:r>
      <w:r w:rsidR="005F0A08" w:rsidRPr="00A22044">
        <w:rPr>
          <w:color w:val="auto"/>
        </w:rPr>
        <w:t xml:space="preserve">da Unidade Gestora </w:t>
      </w:r>
      <w:r w:rsidRPr="00A22044">
        <w:rPr>
          <w:color w:val="auto"/>
        </w:rPr>
        <w:t xml:space="preserve">do </w:t>
      </w:r>
      <w:r w:rsidR="000F2EB2" w:rsidRPr="00A22044">
        <w:rPr>
          <w:bCs/>
          <w:color w:val="auto"/>
          <w:szCs w:val="20"/>
        </w:rPr>
        <w:t>Instituto de Previdência dos Servidores Públicos do Município de Pitangueiras - PITANPREV</w:t>
      </w:r>
      <w:r w:rsidRPr="00A22044">
        <w:rPr>
          <w:color w:val="auto"/>
        </w:rPr>
        <w:t xml:space="preserve"> têm como uma das principais objetividades a contínua busca pela ciência do conhecimento técnico, exercendo suas atividades com </w:t>
      </w:r>
      <w:r w:rsidRPr="00A22044">
        <w:rPr>
          <w:b/>
          <w:color w:val="auto"/>
        </w:rPr>
        <w:t>boa fé, legalidade e diligência; zelando por elevados padrões éticos, adotando as boas práticas de gestão previdenciária no âmbito do Pró-Gestão, que visem garantir o cumprimento de suas obrigações</w:t>
      </w:r>
      <w:r w:rsidRPr="00A22044">
        <w:rPr>
          <w:color w:val="auto"/>
        </w:rPr>
        <w:t>.</w:t>
      </w:r>
    </w:p>
    <w:p w14:paraId="26198BB3" w14:textId="0889A3CA" w:rsidR="006F1FD2" w:rsidRPr="00A22044" w:rsidRDefault="006F1FD2" w:rsidP="008B0970">
      <w:pPr>
        <w:rPr>
          <w:color w:val="auto"/>
        </w:rPr>
      </w:pPr>
      <w:r w:rsidRPr="00A22044">
        <w:rPr>
          <w:color w:val="auto"/>
        </w:rPr>
        <w:t>Entende-se por responsáveis pela gestão d</w:t>
      </w:r>
      <w:r w:rsidR="008F1B68" w:rsidRPr="00A22044">
        <w:rPr>
          <w:color w:val="auto"/>
        </w:rPr>
        <w:t>as aplicações e</w:t>
      </w:r>
      <w:r w:rsidRPr="00A22044">
        <w:rPr>
          <w:color w:val="auto"/>
        </w:rPr>
        <w:t xml:space="preserve"> recursos do </w:t>
      </w:r>
      <w:r w:rsidR="000F2EB2" w:rsidRPr="00A22044">
        <w:rPr>
          <w:bCs/>
          <w:color w:val="auto"/>
          <w:szCs w:val="20"/>
        </w:rPr>
        <w:t>Instituto de Previdência dos Servidores Públicos do Município de Pitangueiras - PITANPREV</w:t>
      </w:r>
      <w:r w:rsidRPr="00A22044">
        <w:rPr>
          <w:color w:val="auto"/>
        </w:rPr>
        <w:t xml:space="preserve">, as pessoas que participam do processo de análise, </w:t>
      </w:r>
      <w:r w:rsidR="004E0B01" w:rsidRPr="00A22044">
        <w:rPr>
          <w:color w:val="auto"/>
        </w:rPr>
        <w:t xml:space="preserve">avaliação, gerenciamento, </w:t>
      </w:r>
      <w:r w:rsidRPr="00A22044">
        <w:rPr>
          <w:color w:val="auto"/>
        </w:rPr>
        <w:t xml:space="preserve">assessoramento e decisório, bem como os participantes do mercado de título e valores mobiliários no que se refere à distribuição, intermediação e administração </w:t>
      </w:r>
      <w:r w:rsidR="00800820" w:rsidRPr="00A22044">
        <w:rPr>
          <w:color w:val="auto"/>
        </w:rPr>
        <w:t xml:space="preserve">dos </w:t>
      </w:r>
      <w:r w:rsidR="00515D67" w:rsidRPr="00A22044">
        <w:rPr>
          <w:color w:val="auto"/>
        </w:rPr>
        <w:t>investimentos</w:t>
      </w:r>
      <w:r w:rsidRPr="00A22044">
        <w:rPr>
          <w:color w:val="auto"/>
        </w:rPr>
        <w:t>.</w:t>
      </w:r>
      <w:r w:rsidR="000F2EB2" w:rsidRPr="00A22044">
        <w:rPr>
          <w:color w:val="auto"/>
        </w:rPr>
        <w:t xml:space="preserve"> </w:t>
      </w:r>
    </w:p>
    <w:p w14:paraId="3D112845" w14:textId="0C5592FF" w:rsidR="006F1FD2" w:rsidRPr="00A22044" w:rsidRDefault="006F1FD2" w:rsidP="008B0970">
      <w:pPr>
        <w:rPr>
          <w:color w:val="auto"/>
        </w:rPr>
      </w:pPr>
      <w:r w:rsidRPr="00A22044">
        <w:rPr>
          <w:color w:val="auto"/>
        </w:rPr>
        <w:t xml:space="preserve">A responsabilidade de cada agente envolvido no </w:t>
      </w:r>
      <w:r w:rsidR="00515D67" w:rsidRPr="00A22044">
        <w:rPr>
          <w:color w:val="auto"/>
        </w:rPr>
        <w:t>processo de análise, avaliação, gerenciamento, assessoramento e decisório</w:t>
      </w:r>
      <w:r w:rsidRPr="00A22044">
        <w:rPr>
          <w:color w:val="auto"/>
        </w:rPr>
        <w:t xml:space="preserve"> sobre a</w:t>
      </w:r>
      <w:r w:rsidR="00515D67" w:rsidRPr="00A22044">
        <w:rPr>
          <w:color w:val="auto"/>
        </w:rPr>
        <w:t xml:space="preserve"> gestão </w:t>
      </w:r>
      <w:r w:rsidR="005B02F9" w:rsidRPr="00A22044">
        <w:rPr>
          <w:color w:val="auto"/>
        </w:rPr>
        <w:t>das</w:t>
      </w:r>
      <w:r w:rsidRPr="00A22044">
        <w:rPr>
          <w:color w:val="auto"/>
        </w:rPr>
        <w:t xml:space="preserve"> aplicações dos recursos, foram definidos e estão disponíveis</w:t>
      </w:r>
      <w:r w:rsidR="005B02F9" w:rsidRPr="00A22044">
        <w:rPr>
          <w:color w:val="auto"/>
        </w:rPr>
        <w:t xml:space="preserve"> nas políticas </w:t>
      </w:r>
      <w:r w:rsidR="002A45F5" w:rsidRPr="00A22044">
        <w:rPr>
          <w:color w:val="auto"/>
        </w:rPr>
        <w:t xml:space="preserve">do </w:t>
      </w:r>
      <w:r w:rsidR="000F2EB2" w:rsidRPr="00A22044">
        <w:rPr>
          <w:bCs/>
          <w:color w:val="auto"/>
          <w:szCs w:val="20"/>
        </w:rPr>
        <w:t>Instituto de Previdência dos Servidores Públicos do Município de Pitangueiras - PITANPREV</w:t>
      </w:r>
      <w:r w:rsidRPr="00A22044">
        <w:rPr>
          <w:color w:val="auto"/>
        </w:rPr>
        <w:t>, instituídos como REGRAS, PROCEDIMENTOS E CONTROLES INTERNOS.</w:t>
      </w:r>
    </w:p>
    <w:p w14:paraId="71969004" w14:textId="0DA0FA1B" w:rsidR="003903DA" w:rsidRPr="00A22044" w:rsidRDefault="00C92354" w:rsidP="008B0970">
      <w:pPr>
        <w:rPr>
          <w:color w:val="auto"/>
        </w:rPr>
      </w:pPr>
      <w:r w:rsidRPr="00A22044">
        <w:rPr>
          <w:color w:val="auto"/>
        </w:rPr>
        <w:t xml:space="preserve">Todo o processo de </w:t>
      </w:r>
      <w:r w:rsidR="00E91345" w:rsidRPr="00A22044">
        <w:rPr>
          <w:color w:val="auto"/>
        </w:rPr>
        <w:t>cumprimento da Política de Investimentos e outras diretrizes legais</w:t>
      </w:r>
      <w:r w:rsidR="00D13B68" w:rsidRPr="00A22044">
        <w:rPr>
          <w:color w:val="auto"/>
        </w:rPr>
        <w:t xml:space="preserve">, que envolvam </w:t>
      </w:r>
      <w:r w:rsidR="00D751E2" w:rsidRPr="00A22044">
        <w:rPr>
          <w:color w:val="auto"/>
        </w:rPr>
        <w:t xml:space="preserve">os agentes descriminados acima, terão </w:t>
      </w:r>
      <w:r w:rsidR="003903DA" w:rsidRPr="00A22044">
        <w:rPr>
          <w:color w:val="auto"/>
        </w:rPr>
        <w:t xml:space="preserve">suas ações deliberadas e fiscalizadas </w:t>
      </w:r>
      <w:r w:rsidR="00CE4793" w:rsidRPr="00A22044">
        <w:rPr>
          <w:color w:val="auto"/>
        </w:rPr>
        <w:t>pelos</w:t>
      </w:r>
      <w:r w:rsidR="003903DA" w:rsidRPr="00A22044">
        <w:rPr>
          <w:color w:val="auto"/>
        </w:rPr>
        <w:t xml:space="preserve"> conselhos competentes</w:t>
      </w:r>
      <w:r w:rsidR="00CE4793" w:rsidRPr="00A22044">
        <w:rPr>
          <w:color w:val="auto"/>
        </w:rPr>
        <w:t xml:space="preserve"> e pelo controle interno</w:t>
      </w:r>
      <w:r w:rsidR="003903DA" w:rsidRPr="00A22044">
        <w:rPr>
          <w:color w:val="auto"/>
        </w:rPr>
        <w:t>.</w:t>
      </w:r>
    </w:p>
    <w:p w14:paraId="7FEBAE36" w14:textId="49F4E893" w:rsidR="00D94308" w:rsidRPr="0026139D" w:rsidRDefault="00D94308" w:rsidP="00BB08FE">
      <w:pPr>
        <w:pStyle w:val="Ttulo2"/>
      </w:pPr>
      <w:bookmarkStart w:id="12" w:name="_Toc435189691"/>
      <w:bookmarkStart w:id="13" w:name="_Toc435202749"/>
      <w:bookmarkStart w:id="14" w:name="_Toc490036555"/>
      <w:bookmarkStart w:id="15" w:name="_Toc90997474"/>
      <w:r w:rsidRPr="0026139D">
        <w:t>ÓRGÃOS DE E</w:t>
      </w:r>
      <w:bookmarkEnd w:id="12"/>
      <w:r w:rsidRPr="0026139D">
        <w:t>XECUÇÃO</w:t>
      </w:r>
      <w:bookmarkEnd w:id="13"/>
      <w:bookmarkEnd w:id="14"/>
      <w:bookmarkEnd w:id="15"/>
      <w:r w:rsidR="000F2EB2">
        <w:t xml:space="preserve"> </w:t>
      </w:r>
    </w:p>
    <w:p w14:paraId="730A5B43" w14:textId="4D7C45AE" w:rsidR="00BB57D9" w:rsidRPr="00A22044" w:rsidRDefault="00BB57D9" w:rsidP="008B0970">
      <w:pPr>
        <w:rPr>
          <w:bCs/>
          <w:color w:val="auto"/>
          <w:szCs w:val="20"/>
        </w:rPr>
      </w:pPr>
      <w:r w:rsidRPr="00A22044">
        <w:rPr>
          <w:bCs/>
          <w:color w:val="auto"/>
          <w:szCs w:val="20"/>
        </w:rPr>
        <w:t xml:space="preserve">Os recursos do </w:t>
      </w:r>
      <w:r w:rsidR="000F2EB2" w:rsidRPr="00A22044">
        <w:rPr>
          <w:bCs/>
          <w:color w:val="auto"/>
          <w:szCs w:val="20"/>
        </w:rPr>
        <w:t>Instituto de Previdência dos Servidores Públicos do Município de Pitangueiras – PITANPREV,</w:t>
      </w:r>
      <w:r w:rsidRPr="00A22044">
        <w:rPr>
          <w:bCs/>
          <w:color w:val="auto"/>
          <w:szCs w:val="20"/>
        </w:rPr>
        <w:t xml:space="preserve"> visam à constituição das reservas garantidoras dos benefícios e devem ser mantidos e controlados de forma segregada dos recursos do ente federativo e geridos, em conformidade com esta Política de Investimentos e com os critérios para credenciamento das Instituições Financeiras e contratação de prestadores de serviços.</w:t>
      </w:r>
    </w:p>
    <w:p w14:paraId="0F874A87" w14:textId="2BD39A31" w:rsidR="00D94308" w:rsidRPr="00A22044" w:rsidRDefault="00D94308" w:rsidP="008B0970">
      <w:pPr>
        <w:rPr>
          <w:bCs/>
          <w:color w:val="auto"/>
          <w:szCs w:val="20"/>
        </w:rPr>
      </w:pPr>
      <w:r w:rsidRPr="00A22044">
        <w:rPr>
          <w:bCs/>
          <w:color w:val="auto"/>
          <w:szCs w:val="20"/>
        </w:rPr>
        <w:t>Compete ao Comitê de Investimentos a formulação e execução da Política de Investimento juntamente com a Diretoria Executiva</w:t>
      </w:r>
      <w:r w:rsidR="00C86686" w:rsidRPr="00A22044">
        <w:rPr>
          <w:bCs/>
          <w:color w:val="auto"/>
          <w:szCs w:val="20"/>
        </w:rPr>
        <w:t xml:space="preserve"> e Gestor dos Recursos</w:t>
      </w:r>
      <w:r w:rsidRPr="00A22044">
        <w:rPr>
          <w:bCs/>
          <w:color w:val="auto"/>
          <w:szCs w:val="20"/>
        </w:rPr>
        <w:t>, que deve</w:t>
      </w:r>
      <w:r w:rsidR="00C86686" w:rsidRPr="00A22044">
        <w:rPr>
          <w:bCs/>
          <w:color w:val="auto"/>
          <w:szCs w:val="20"/>
        </w:rPr>
        <w:t>m</w:t>
      </w:r>
      <w:r w:rsidRPr="00A22044">
        <w:rPr>
          <w:bCs/>
          <w:color w:val="auto"/>
          <w:szCs w:val="20"/>
        </w:rPr>
        <w:t xml:space="preserve"> submetê-la para aprovação do Conselho Deliberativo</w:t>
      </w:r>
      <w:r w:rsidR="000F2EB2" w:rsidRPr="00A22044">
        <w:rPr>
          <w:bCs/>
          <w:color w:val="auto"/>
          <w:szCs w:val="20"/>
        </w:rPr>
        <w:t>,</w:t>
      </w:r>
      <w:r w:rsidRPr="00A22044">
        <w:rPr>
          <w:bCs/>
          <w:color w:val="auto"/>
          <w:szCs w:val="20"/>
        </w:rPr>
        <w:t xml:space="preserve"> e fiscalização do Conselho Fiscal, órgãos </w:t>
      </w:r>
      <w:r w:rsidR="00E22CBD" w:rsidRPr="00A22044">
        <w:rPr>
          <w:bCs/>
          <w:color w:val="auto"/>
          <w:szCs w:val="20"/>
        </w:rPr>
        <w:t>superiores de competência</w:t>
      </w:r>
      <w:r w:rsidRPr="00A22044">
        <w:rPr>
          <w:bCs/>
          <w:color w:val="auto"/>
          <w:szCs w:val="20"/>
        </w:rPr>
        <w:t xml:space="preserve"> do </w:t>
      </w:r>
      <w:r w:rsidR="000F2EB2" w:rsidRPr="00A22044">
        <w:rPr>
          <w:bCs/>
          <w:color w:val="auto"/>
          <w:szCs w:val="20"/>
        </w:rPr>
        <w:t>Instituto de Previdência dos Servidores Públicos do Município de Pitangueiras - PITANPREV</w:t>
      </w:r>
      <w:r w:rsidRPr="00A22044">
        <w:rPr>
          <w:bCs/>
          <w:color w:val="auto"/>
          <w:szCs w:val="20"/>
        </w:rPr>
        <w:t>.</w:t>
      </w:r>
    </w:p>
    <w:p w14:paraId="5442C8BA" w14:textId="40A0F5C3" w:rsidR="00D94308" w:rsidRPr="00A22044" w:rsidRDefault="00272055" w:rsidP="008B0970">
      <w:pPr>
        <w:rPr>
          <w:bCs/>
          <w:color w:val="auto"/>
          <w:szCs w:val="20"/>
        </w:rPr>
      </w:pPr>
      <w:r w:rsidRPr="00A22044">
        <w:rPr>
          <w:bCs/>
          <w:color w:val="auto"/>
          <w:szCs w:val="20"/>
        </w:rPr>
        <w:t>A</w:t>
      </w:r>
      <w:r w:rsidR="00D94308" w:rsidRPr="00A22044">
        <w:rPr>
          <w:bCs/>
          <w:color w:val="auto"/>
          <w:szCs w:val="20"/>
        </w:rPr>
        <w:t xml:space="preserve"> estrutura </w:t>
      </w:r>
      <w:r w:rsidRPr="00A22044">
        <w:rPr>
          <w:bCs/>
          <w:color w:val="auto"/>
          <w:szCs w:val="20"/>
        </w:rPr>
        <w:t xml:space="preserve">definida através da </w:t>
      </w:r>
      <w:r w:rsidR="000F2EB2" w:rsidRPr="00A22044">
        <w:rPr>
          <w:bCs/>
          <w:color w:val="auto"/>
          <w:szCs w:val="20"/>
        </w:rPr>
        <w:t>Lei 2.489</w:t>
      </w:r>
      <w:r w:rsidR="00F43E96" w:rsidRPr="00A22044">
        <w:rPr>
          <w:bCs/>
          <w:color w:val="auto"/>
          <w:szCs w:val="20"/>
        </w:rPr>
        <w:t xml:space="preserve"> de 21 de dezembro de 2006, e suas alterações posteriores, </w:t>
      </w:r>
      <w:r w:rsidR="00D94308" w:rsidRPr="00A22044">
        <w:rPr>
          <w:bCs/>
          <w:color w:val="auto"/>
          <w:szCs w:val="20"/>
        </w:rPr>
        <w:t>garante</w:t>
      </w:r>
      <w:r w:rsidR="00F43E96" w:rsidRPr="00A22044">
        <w:rPr>
          <w:bCs/>
          <w:color w:val="auto"/>
          <w:szCs w:val="20"/>
        </w:rPr>
        <w:t>m</w:t>
      </w:r>
      <w:r w:rsidR="00D94308" w:rsidRPr="00A22044">
        <w:rPr>
          <w:bCs/>
          <w:color w:val="auto"/>
          <w:szCs w:val="20"/>
        </w:rPr>
        <w:t xml:space="preserve"> a demonstração da Segregação de Atividades adotadas pelos órgãos de execução, estando em linha com as </w:t>
      </w:r>
      <w:r w:rsidRPr="00A22044">
        <w:rPr>
          <w:bCs/>
          <w:color w:val="auto"/>
          <w:szCs w:val="20"/>
        </w:rPr>
        <w:t xml:space="preserve">boas </w:t>
      </w:r>
      <w:r w:rsidR="00D94308" w:rsidRPr="00A22044">
        <w:rPr>
          <w:bCs/>
          <w:color w:val="auto"/>
          <w:szCs w:val="20"/>
        </w:rPr>
        <w:t xml:space="preserve">práticas </w:t>
      </w:r>
      <w:r w:rsidRPr="00A22044">
        <w:rPr>
          <w:bCs/>
          <w:color w:val="auto"/>
          <w:szCs w:val="20"/>
        </w:rPr>
        <w:t xml:space="preserve">de gestão </w:t>
      </w:r>
      <w:r w:rsidR="00D94308" w:rsidRPr="00A22044">
        <w:rPr>
          <w:bCs/>
          <w:color w:val="auto"/>
          <w:szCs w:val="20"/>
        </w:rPr>
        <w:t>para uma boa governança previdenciária.</w:t>
      </w:r>
    </w:p>
    <w:p w14:paraId="211B5D71" w14:textId="26C8567D" w:rsidR="00D94308" w:rsidRPr="00A22044" w:rsidRDefault="00D94308" w:rsidP="008B0970">
      <w:pPr>
        <w:rPr>
          <w:bCs/>
          <w:color w:val="auto"/>
          <w:szCs w:val="20"/>
        </w:rPr>
      </w:pPr>
      <w:r w:rsidRPr="00A22044">
        <w:rPr>
          <w:bCs/>
          <w:color w:val="auto"/>
          <w:szCs w:val="20"/>
        </w:rPr>
        <w:lastRenderedPageBreak/>
        <w:t>Em casos de Conflitos de Interesse entre os</w:t>
      </w:r>
      <w:r w:rsidR="001D66B9" w:rsidRPr="00A22044">
        <w:rPr>
          <w:bCs/>
          <w:color w:val="auto"/>
          <w:szCs w:val="20"/>
        </w:rPr>
        <w:t xml:space="preserve"> </w:t>
      </w:r>
      <w:r w:rsidRPr="00A22044">
        <w:rPr>
          <w:bCs/>
          <w:color w:val="auto"/>
          <w:szCs w:val="20"/>
        </w:rPr>
        <w:t>membros</w:t>
      </w:r>
      <w:r w:rsidR="007C53E4" w:rsidRPr="00A22044">
        <w:rPr>
          <w:bCs/>
          <w:color w:val="auto"/>
          <w:szCs w:val="20"/>
        </w:rPr>
        <w:t xml:space="preserve"> </w:t>
      </w:r>
      <w:r w:rsidR="00890441" w:rsidRPr="00A22044">
        <w:rPr>
          <w:bCs/>
          <w:color w:val="auto"/>
          <w:szCs w:val="20"/>
        </w:rPr>
        <w:t>integrantes do Comitê de Investimentos, Diretoria Executiva e Conselhos</w:t>
      </w:r>
      <w:r w:rsidRPr="00A22044">
        <w:rPr>
          <w:bCs/>
          <w:color w:val="auto"/>
          <w:szCs w:val="20"/>
        </w:rPr>
        <w:t>, a participação do conflitante com</w:t>
      </w:r>
      <w:r w:rsidR="00AB3E80" w:rsidRPr="00A22044">
        <w:rPr>
          <w:bCs/>
          <w:color w:val="auto"/>
          <w:szCs w:val="20"/>
        </w:rPr>
        <w:t>o</w:t>
      </w:r>
      <w:r w:rsidRPr="00A22044">
        <w:rPr>
          <w:bCs/>
          <w:color w:val="auto"/>
          <w:szCs w:val="20"/>
        </w:rPr>
        <w:t xml:space="preserve"> voto de </w:t>
      </w:r>
      <w:r w:rsidR="001D66B9" w:rsidRPr="00A22044">
        <w:rPr>
          <w:bCs/>
          <w:color w:val="auto"/>
          <w:szCs w:val="20"/>
        </w:rPr>
        <w:t>qualidade</w:t>
      </w:r>
      <w:r w:rsidRPr="00A22044">
        <w:rPr>
          <w:bCs/>
          <w:color w:val="auto"/>
          <w:szCs w:val="20"/>
        </w:rPr>
        <w:t xml:space="preserve"> será impedida e/ou anulada</w:t>
      </w:r>
      <w:r w:rsidR="00AB3E80" w:rsidRPr="00A22044">
        <w:rPr>
          <w:bCs/>
          <w:color w:val="auto"/>
          <w:szCs w:val="20"/>
        </w:rPr>
        <w:t xml:space="preserve">, sendo </w:t>
      </w:r>
      <w:r w:rsidRPr="00A22044">
        <w:rPr>
          <w:bCs/>
          <w:color w:val="auto"/>
          <w:szCs w:val="20"/>
        </w:rPr>
        <w:t xml:space="preserve">devidamente </w:t>
      </w:r>
      <w:r w:rsidR="00AB3E80" w:rsidRPr="00A22044">
        <w:rPr>
          <w:bCs/>
          <w:color w:val="auto"/>
          <w:szCs w:val="20"/>
        </w:rPr>
        <w:t>registrado em</w:t>
      </w:r>
      <w:r w:rsidRPr="00A22044">
        <w:rPr>
          <w:bCs/>
          <w:color w:val="auto"/>
          <w:szCs w:val="20"/>
        </w:rPr>
        <w:t xml:space="preserve"> </w:t>
      </w:r>
      <w:r w:rsidR="007C53E4" w:rsidRPr="00A22044">
        <w:rPr>
          <w:bCs/>
          <w:color w:val="auto"/>
          <w:szCs w:val="20"/>
        </w:rPr>
        <w:t>ata</w:t>
      </w:r>
      <w:r w:rsidR="003500DD" w:rsidRPr="00A22044">
        <w:rPr>
          <w:bCs/>
          <w:color w:val="auto"/>
          <w:szCs w:val="20"/>
        </w:rPr>
        <w:t xml:space="preserve"> de reunião</w:t>
      </w:r>
      <w:r w:rsidRPr="00A22044">
        <w:rPr>
          <w:bCs/>
          <w:color w:val="auto"/>
          <w:szCs w:val="20"/>
        </w:rPr>
        <w:t>.</w:t>
      </w:r>
    </w:p>
    <w:p w14:paraId="31DC71AC" w14:textId="3604A092" w:rsidR="00D94308" w:rsidRPr="00A22044" w:rsidRDefault="00D94308" w:rsidP="008B0970">
      <w:pPr>
        <w:rPr>
          <w:bCs/>
          <w:color w:val="auto"/>
          <w:szCs w:val="20"/>
        </w:rPr>
      </w:pPr>
      <w:r w:rsidRPr="00A22044">
        <w:rPr>
          <w:bCs/>
          <w:color w:val="auto"/>
          <w:szCs w:val="20"/>
        </w:rPr>
        <w:t xml:space="preserve">Não fica excluída a possibilidade da </w:t>
      </w:r>
      <w:r w:rsidR="005B67E6" w:rsidRPr="00A22044">
        <w:rPr>
          <w:bCs/>
          <w:color w:val="auto"/>
          <w:szCs w:val="20"/>
        </w:rPr>
        <w:t xml:space="preserve">participação de um </w:t>
      </w:r>
      <w:r w:rsidRPr="00A22044">
        <w:rPr>
          <w:bCs/>
          <w:color w:val="auto"/>
          <w:szCs w:val="20"/>
        </w:rPr>
        <w:t>Consultor de Valores Mobiliários</w:t>
      </w:r>
      <w:r w:rsidR="00477610" w:rsidRPr="00A22044">
        <w:rPr>
          <w:bCs/>
          <w:color w:val="auto"/>
          <w:szCs w:val="20"/>
        </w:rPr>
        <w:t xml:space="preserve"> no</w:t>
      </w:r>
      <w:r w:rsidRPr="00A22044">
        <w:rPr>
          <w:bCs/>
          <w:color w:val="auto"/>
          <w:szCs w:val="20"/>
        </w:rPr>
        <w:t xml:space="preserve"> forne</w:t>
      </w:r>
      <w:r w:rsidR="00477610" w:rsidRPr="00A22044">
        <w:rPr>
          <w:bCs/>
          <w:color w:val="auto"/>
          <w:szCs w:val="20"/>
        </w:rPr>
        <w:t>cimento</w:t>
      </w:r>
      <w:r w:rsidRPr="00A22044">
        <w:rPr>
          <w:bCs/>
          <w:color w:val="auto"/>
          <w:szCs w:val="20"/>
        </w:rPr>
        <w:t xml:space="preserve"> </w:t>
      </w:r>
      <w:r w:rsidR="00477610" w:rsidRPr="00A22044">
        <w:rPr>
          <w:bCs/>
          <w:color w:val="auto"/>
          <w:szCs w:val="20"/>
        </w:rPr>
        <w:t xml:space="preserve">de </w:t>
      </w:r>
      <w:r w:rsidRPr="00A22044">
        <w:rPr>
          <w:bCs/>
          <w:color w:val="auto"/>
          <w:szCs w:val="20"/>
        </w:rPr>
        <w:t>“minuta” d</w:t>
      </w:r>
      <w:r w:rsidR="00477610" w:rsidRPr="00A22044">
        <w:rPr>
          <w:bCs/>
          <w:color w:val="auto"/>
          <w:szCs w:val="20"/>
        </w:rPr>
        <w:t>a</w:t>
      </w:r>
      <w:r w:rsidRPr="00A22044">
        <w:rPr>
          <w:bCs/>
          <w:color w:val="auto"/>
          <w:szCs w:val="20"/>
        </w:rPr>
        <w:t xml:space="preserve"> Política de Investimentos </w:t>
      </w:r>
      <w:r w:rsidR="00477610" w:rsidRPr="00A22044">
        <w:rPr>
          <w:bCs/>
          <w:color w:val="auto"/>
          <w:szCs w:val="20"/>
        </w:rPr>
        <w:t xml:space="preserve">e propostas de revisão </w:t>
      </w:r>
      <w:r w:rsidRPr="00A22044">
        <w:rPr>
          <w:bCs/>
          <w:color w:val="auto"/>
          <w:szCs w:val="20"/>
        </w:rPr>
        <w:t xml:space="preserve">para apreciação do </w:t>
      </w:r>
      <w:r w:rsidR="00477610" w:rsidRPr="00A22044">
        <w:rPr>
          <w:bCs/>
          <w:color w:val="auto"/>
          <w:szCs w:val="20"/>
        </w:rPr>
        <w:t xml:space="preserve">Gestor dos Recursos, </w:t>
      </w:r>
      <w:r w:rsidRPr="00A22044">
        <w:rPr>
          <w:bCs/>
          <w:color w:val="auto"/>
          <w:szCs w:val="20"/>
        </w:rPr>
        <w:t>Comitê de Investimentos e Diretoria Executiva.</w:t>
      </w:r>
    </w:p>
    <w:p w14:paraId="2C4070DC" w14:textId="77777777" w:rsidR="005F2D9B" w:rsidRDefault="005F2D9B" w:rsidP="00BB08FE">
      <w:pPr>
        <w:pStyle w:val="Ttulo2"/>
      </w:pPr>
      <w:bookmarkStart w:id="16" w:name="_Toc90997475"/>
      <w:r>
        <w:t>CONSULTORIA DE VALORES MOBILIÁRIOS</w:t>
      </w:r>
      <w:bookmarkEnd w:id="16"/>
    </w:p>
    <w:p w14:paraId="3F36759F" w14:textId="3127E2E0" w:rsidR="005F2D9B" w:rsidRPr="00A22044" w:rsidRDefault="005F2D9B" w:rsidP="008B0970">
      <w:pPr>
        <w:rPr>
          <w:color w:val="auto"/>
        </w:rPr>
      </w:pPr>
      <w:r w:rsidRPr="00A22044">
        <w:rPr>
          <w:color w:val="auto"/>
        </w:rPr>
        <w:t xml:space="preserve">O </w:t>
      </w:r>
      <w:r w:rsidR="00F43E96" w:rsidRPr="00A22044">
        <w:rPr>
          <w:bCs/>
          <w:color w:val="auto"/>
          <w:szCs w:val="20"/>
        </w:rPr>
        <w:t>Instituto de Previdência dos Servidores Públicos do Município de Pitangueiras - PITANPREV</w:t>
      </w:r>
      <w:r w:rsidRPr="00A22044">
        <w:rPr>
          <w:color w:val="auto"/>
        </w:rPr>
        <w:t xml:space="preserve"> tem a prerrogativa da contratação de empresa de Consultoria de Valores Mobiliários, de acordo com os critérios estabelecidos na Resolução CMN nº 4.693/2021, Portaria n° 519/2011 com suas alterações e Resolução CVM nº 19/2021, na prestação dos serviços de </w:t>
      </w:r>
      <w:r w:rsidRPr="00A22044">
        <w:rPr>
          <w:b/>
          <w:color w:val="auto"/>
        </w:rPr>
        <w:t>orientação, recomendação e aconselhamento</w:t>
      </w:r>
      <w:r w:rsidRPr="00A22044">
        <w:rPr>
          <w:color w:val="auto"/>
        </w:rPr>
        <w:t xml:space="preserve">, sobre investimentos no mercado de valores mobiliários, cuja adoção é de única e exclusiva responsabilidade do </w:t>
      </w:r>
      <w:r w:rsidR="00F43E96" w:rsidRPr="00A22044">
        <w:rPr>
          <w:bCs/>
          <w:color w:val="auto"/>
          <w:szCs w:val="20"/>
        </w:rPr>
        <w:t>Instituto de Previdência dos Servidores Públicos do Município de Pitangueiras - PITANPREV</w:t>
      </w:r>
      <w:r w:rsidRPr="00A22044">
        <w:rPr>
          <w:color w:val="auto"/>
        </w:rPr>
        <w:t>.</w:t>
      </w:r>
    </w:p>
    <w:p w14:paraId="274B3C77" w14:textId="004E9098" w:rsidR="005F2D9B" w:rsidRPr="00A22044" w:rsidRDefault="005F2D9B" w:rsidP="008B0970">
      <w:pPr>
        <w:rPr>
          <w:color w:val="auto"/>
        </w:rPr>
      </w:pPr>
      <w:r w:rsidRPr="00A22044">
        <w:rPr>
          <w:color w:val="auto"/>
        </w:rPr>
        <w:t xml:space="preserve">Para a efetiva contratação da empresa de Consultoria de Valores Mobiliários, o </w:t>
      </w:r>
      <w:r w:rsidR="00F43E96" w:rsidRPr="00A22044">
        <w:rPr>
          <w:bCs/>
          <w:color w:val="auto"/>
          <w:szCs w:val="20"/>
        </w:rPr>
        <w:t>Instituto de Previdência dos Servidores Públicos do Município de Pitangueiras – PITANPREV,</w:t>
      </w:r>
      <w:r w:rsidRPr="00A22044">
        <w:rPr>
          <w:b/>
          <w:color w:val="auto"/>
        </w:rPr>
        <w:t xml:space="preserve"> </w:t>
      </w:r>
      <w:r w:rsidRPr="00A22044">
        <w:rPr>
          <w:color w:val="auto"/>
        </w:rPr>
        <w:t>deverá realizar diligência e avaliação quanto ao perfil dos interessados, considerando no mínimo os critérios definidos abaixo:</w:t>
      </w:r>
    </w:p>
    <w:p w14:paraId="6013A260" w14:textId="77777777" w:rsidR="00F5274B" w:rsidRPr="00A22044" w:rsidRDefault="005F2D9B" w:rsidP="008B0970">
      <w:pPr>
        <w:pStyle w:val="PargrafodaLista"/>
        <w:numPr>
          <w:ilvl w:val="0"/>
          <w:numId w:val="30"/>
        </w:numPr>
        <w:rPr>
          <w:color w:val="auto"/>
        </w:rPr>
      </w:pPr>
      <w:r w:rsidRPr="00A22044">
        <w:rPr>
          <w:color w:val="auto"/>
        </w:rPr>
        <w:t>Que a prestação dos serviços de orientação, recomendação e aconselhamento seja de forma profissional, sobre investimentos no mercado de valores mobiliários;</w:t>
      </w:r>
    </w:p>
    <w:p w14:paraId="4B1BBA9A" w14:textId="77777777" w:rsidR="00F5274B" w:rsidRPr="00A22044" w:rsidRDefault="00F5274B" w:rsidP="00F5274B">
      <w:pPr>
        <w:pStyle w:val="PargrafodaLista"/>
        <w:rPr>
          <w:color w:val="auto"/>
        </w:rPr>
      </w:pPr>
    </w:p>
    <w:p w14:paraId="0178E040" w14:textId="6B38FABA" w:rsidR="00F5274B" w:rsidRPr="00A22044" w:rsidRDefault="005F2D9B" w:rsidP="008B0970">
      <w:pPr>
        <w:pStyle w:val="PargrafodaLista"/>
        <w:numPr>
          <w:ilvl w:val="0"/>
          <w:numId w:val="30"/>
        </w:numPr>
        <w:rPr>
          <w:color w:val="auto"/>
        </w:rPr>
      </w:pPr>
      <w:r w:rsidRPr="00A22044">
        <w:rPr>
          <w:color w:val="auto"/>
        </w:rPr>
        <w:t xml:space="preserve">Que a prestação dos serviços seja independente e individualizada, cuja adoção e implementação das orientações, recomendações e aconselhamentos sejam exclusivas do </w:t>
      </w:r>
      <w:r w:rsidR="00F43E96" w:rsidRPr="00A22044">
        <w:rPr>
          <w:bCs/>
          <w:color w:val="auto"/>
          <w:szCs w:val="20"/>
        </w:rPr>
        <w:t>Instituto de Previdência dos Servidores Públicos do Município de Pitangueiras - PITANPREV</w:t>
      </w:r>
      <w:r w:rsidRPr="00A22044">
        <w:rPr>
          <w:color w:val="auto"/>
        </w:rPr>
        <w:t>;</w:t>
      </w:r>
    </w:p>
    <w:p w14:paraId="153FBAEA" w14:textId="77777777" w:rsidR="00F5274B" w:rsidRPr="00A22044" w:rsidRDefault="00F5274B" w:rsidP="00F5274B">
      <w:pPr>
        <w:pStyle w:val="PargrafodaLista"/>
        <w:rPr>
          <w:color w:val="auto"/>
        </w:rPr>
      </w:pPr>
    </w:p>
    <w:p w14:paraId="2523527D" w14:textId="77777777" w:rsidR="00F5274B" w:rsidRPr="00A22044" w:rsidRDefault="005F2D9B" w:rsidP="008B0970">
      <w:pPr>
        <w:pStyle w:val="PargrafodaLista"/>
        <w:numPr>
          <w:ilvl w:val="0"/>
          <w:numId w:val="30"/>
        </w:numPr>
        <w:rPr>
          <w:color w:val="auto"/>
        </w:rPr>
      </w:pPr>
      <w:r w:rsidRPr="00A22044">
        <w:rPr>
          <w:color w:val="auto"/>
        </w:rPr>
        <w:t xml:space="preserve">Que a prestação de serviços de orientação, recomendação e aconselhamento abranjam </w:t>
      </w:r>
      <w:r w:rsidR="004F058C" w:rsidRPr="00A22044">
        <w:rPr>
          <w:color w:val="auto"/>
        </w:rPr>
        <w:t xml:space="preserve">no mínimo </w:t>
      </w:r>
      <w:r w:rsidRPr="00A22044">
        <w:rPr>
          <w:color w:val="auto"/>
        </w:rPr>
        <w:t>os temas sobre: (i) classes de ativos e valores mobiliários, (ii) títulos e valores mobiliários específicos, (iii) Instituições Financeiras no âmbito do mercado de valores mobiliários e (iv) investimentos no mercado de valores mobiliários em todos os aspectos;</w:t>
      </w:r>
    </w:p>
    <w:p w14:paraId="572038E3" w14:textId="77777777" w:rsidR="00F5274B" w:rsidRPr="00A22044" w:rsidRDefault="00F5274B" w:rsidP="00F5274B">
      <w:pPr>
        <w:pStyle w:val="PargrafodaLista"/>
        <w:rPr>
          <w:color w:val="auto"/>
        </w:rPr>
      </w:pPr>
    </w:p>
    <w:p w14:paraId="3AB23B3C" w14:textId="77777777" w:rsidR="00B62B8E" w:rsidRPr="00A22044" w:rsidRDefault="00DA7474" w:rsidP="008B0970">
      <w:pPr>
        <w:pStyle w:val="PargrafodaLista"/>
        <w:numPr>
          <w:ilvl w:val="0"/>
          <w:numId w:val="30"/>
        </w:numPr>
        <w:rPr>
          <w:color w:val="auto"/>
        </w:rPr>
      </w:pPr>
      <w:r w:rsidRPr="00A22044">
        <w:rPr>
          <w:color w:val="auto"/>
        </w:rPr>
        <w:t>As informações disponibilizadas pelo consultor de valores mobiliários sejam verdadeiras, completas, consistentes e não induzir o investidor a err</w:t>
      </w:r>
      <w:r w:rsidR="0010721D" w:rsidRPr="00A22044">
        <w:rPr>
          <w:color w:val="auto"/>
        </w:rPr>
        <w:t>o, escritas em linguagem simples, clara, objetiva e concisa;</w:t>
      </w:r>
    </w:p>
    <w:p w14:paraId="62974476" w14:textId="77777777" w:rsidR="00B62B8E" w:rsidRPr="00A22044" w:rsidRDefault="00B62B8E" w:rsidP="00B62B8E">
      <w:pPr>
        <w:pStyle w:val="PargrafodaLista"/>
        <w:rPr>
          <w:color w:val="auto"/>
        </w:rPr>
      </w:pPr>
    </w:p>
    <w:p w14:paraId="6F782E08" w14:textId="77777777" w:rsidR="00B62B8E" w:rsidRPr="00A22044" w:rsidRDefault="005F2D9B" w:rsidP="008B0970">
      <w:pPr>
        <w:pStyle w:val="PargrafodaLista"/>
        <w:numPr>
          <w:ilvl w:val="0"/>
          <w:numId w:val="30"/>
        </w:numPr>
        <w:rPr>
          <w:color w:val="auto"/>
        </w:rPr>
      </w:pPr>
      <w:r w:rsidRPr="00A22044">
        <w:rPr>
          <w:color w:val="auto"/>
        </w:rPr>
        <w:t>Que apresente em contrato social um Consultor de Valores Mobiliários como responsável pelas atividades da Consultoria de Valores Mobiliários;</w:t>
      </w:r>
    </w:p>
    <w:p w14:paraId="708ADB2B" w14:textId="77777777" w:rsidR="00B62B8E" w:rsidRPr="00A22044" w:rsidRDefault="00B62B8E" w:rsidP="00B62B8E">
      <w:pPr>
        <w:pStyle w:val="PargrafodaLista"/>
        <w:rPr>
          <w:color w:val="auto"/>
        </w:rPr>
      </w:pPr>
    </w:p>
    <w:p w14:paraId="347F53F2" w14:textId="77777777" w:rsidR="00B62B8E" w:rsidRPr="00A22044" w:rsidRDefault="005F2D9B" w:rsidP="008B0970">
      <w:pPr>
        <w:pStyle w:val="PargrafodaLista"/>
        <w:numPr>
          <w:ilvl w:val="0"/>
          <w:numId w:val="30"/>
        </w:numPr>
        <w:rPr>
          <w:color w:val="auto"/>
        </w:rPr>
      </w:pPr>
      <w:r w:rsidRPr="00A22044">
        <w:rPr>
          <w:color w:val="auto"/>
        </w:rPr>
        <w:t>Que apresente em contrato social um Compliance Officer como responsável pela implementação e cumprimento de regras, procedimentos e controles internos e das normas estabelecidas pela Resolução CVM nº 19/2021;</w:t>
      </w:r>
    </w:p>
    <w:p w14:paraId="13C428F5" w14:textId="77777777" w:rsidR="00B62B8E" w:rsidRDefault="00B62B8E" w:rsidP="00B62B8E">
      <w:pPr>
        <w:pStyle w:val="PargrafodaLista"/>
      </w:pPr>
    </w:p>
    <w:p w14:paraId="33699E45" w14:textId="77777777" w:rsidR="00B62B8E" w:rsidRPr="00A22044" w:rsidRDefault="004004B8" w:rsidP="008B0970">
      <w:pPr>
        <w:pStyle w:val="PargrafodaLista"/>
        <w:numPr>
          <w:ilvl w:val="0"/>
          <w:numId w:val="30"/>
        </w:numPr>
        <w:rPr>
          <w:color w:val="auto"/>
        </w:rPr>
      </w:pPr>
      <w:r w:rsidRPr="00A22044">
        <w:rPr>
          <w:color w:val="auto"/>
        </w:rPr>
        <w:t xml:space="preserve">Que </w:t>
      </w:r>
      <w:r w:rsidR="005B337D" w:rsidRPr="00A22044">
        <w:rPr>
          <w:color w:val="auto"/>
        </w:rPr>
        <w:t>mantenha página na rede mundial de computadores</w:t>
      </w:r>
      <w:r w:rsidR="00480F27" w:rsidRPr="00A22044">
        <w:rPr>
          <w:color w:val="auto"/>
        </w:rPr>
        <w:t xml:space="preserve"> na forma de consulta pública</w:t>
      </w:r>
      <w:r w:rsidR="00933227" w:rsidRPr="00A22044">
        <w:rPr>
          <w:color w:val="auto"/>
        </w:rPr>
        <w:t>,</w:t>
      </w:r>
      <w:r w:rsidR="00480F27" w:rsidRPr="00A22044">
        <w:rPr>
          <w:color w:val="auto"/>
        </w:rPr>
        <w:t xml:space="preserve"> </w:t>
      </w:r>
      <w:r w:rsidR="005B337D" w:rsidRPr="00A22044">
        <w:rPr>
          <w:color w:val="auto"/>
        </w:rPr>
        <w:t>as seguintes informações atualizadas:</w:t>
      </w:r>
      <w:r w:rsidR="00933227" w:rsidRPr="00A22044">
        <w:rPr>
          <w:color w:val="auto"/>
        </w:rPr>
        <w:t xml:space="preserve"> (i) formulário de referência; </w:t>
      </w:r>
      <w:r w:rsidR="006A4859" w:rsidRPr="00A22044">
        <w:rPr>
          <w:color w:val="auto"/>
        </w:rPr>
        <w:t xml:space="preserve">(ii) </w:t>
      </w:r>
      <w:r w:rsidR="00933227" w:rsidRPr="00A22044">
        <w:rPr>
          <w:color w:val="auto"/>
        </w:rPr>
        <w:t xml:space="preserve">código de ética, de modo a </w:t>
      </w:r>
      <w:r w:rsidR="00933227" w:rsidRPr="00A22044">
        <w:rPr>
          <w:color w:val="auto"/>
        </w:rPr>
        <w:lastRenderedPageBreak/>
        <w:t xml:space="preserve">concretizar os deveres do consultor de valores mobiliários; </w:t>
      </w:r>
      <w:r w:rsidR="006A4859" w:rsidRPr="00A22044">
        <w:rPr>
          <w:color w:val="auto"/>
        </w:rPr>
        <w:t>(iii) a adoção de regras, procedimentos e descrição dos controles internos</w:t>
      </w:r>
      <w:r w:rsidR="00A43C5B" w:rsidRPr="00A22044">
        <w:rPr>
          <w:color w:val="auto"/>
        </w:rPr>
        <w:t xml:space="preserve"> e</w:t>
      </w:r>
      <w:r w:rsidR="006A4859" w:rsidRPr="00A22044">
        <w:rPr>
          <w:color w:val="auto"/>
        </w:rPr>
        <w:t xml:space="preserve"> (iv) </w:t>
      </w:r>
      <w:r w:rsidR="00A43C5B" w:rsidRPr="00A22044">
        <w:rPr>
          <w:color w:val="auto"/>
        </w:rPr>
        <w:t>a adoção de política de negociação de valores mobiliários por administradores, empregados, colaboradores e pela própria empresa.</w:t>
      </w:r>
    </w:p>
    <w:p w14:paraId="75E97961" w14:textId="77777777" w:rsidR="00B62B8E" w:rsidRPr="00A22044" w:rsidRDefault="00B62B8E" w:rsidP="00B62B8E">
      <w:pPr>
        <w:pStyle w:val="PargrafodaLista"/>
        <w:rPr>
          <w:color w:val="auto"/>
        </w:rPr>
      </w:pPr>
    </w:p>
    <w:p w14:paraId="1104BEDC" w14:textId="77777777" w:rsidR="00B62B8E" w:rsidRPr="00A22044" w:rsidRDefault="0093407C" w:rsidP="008B0970">
      <w:pPr>
        <w:pStyle w:val="PargrafodaLista"/>
        <w:numPr>
          <w:ilvl w:val="0"/>
          <w:numId w:val="30"/>
        </w:numPr>
        <w:rPr>
          <w:color w:val="auto"/>
        </w:rPr>
      </w:pPr>
      <w:r w:rsidRPr="00A22044">
        <w:rPr>
          <w:color w:val="auto"/>
        </w:rPr>
        <w:t xml:space="preserve">Que apresentem em </w:t>
      </w:r>
      <w:r w:rsidR="00F875A7" w:rsidRPr="00A22044">
        <w:rPr>
          <w:color w:val="auto"/>
        </w:rPr>
        <w:t>seu quadro de colaboradores no mínimo um Economista devidamente registro no Conselho Regional de Economia – CORECON;</w:t>
      </w:r>
    </w:p>
    <w:p w14:paraId="7E1AB01F" w14:textId="77777777" w:rsidR="00B62B8E" w:rsidRPr="00A22044" w:rsidRDefault="00B62B8E" w:rsidP="00B62B8E">
      <w:pPr>
        <w:pStyle w:val="PargrafodaLista"/>
        <w:rPr>
          <w:color w:val="auto"/>
        </w:rPr>
      </w:pPr>
    </w:p>
    <w:p w14:paraId="3D7FCDCD" w14:textId="77777777" w:rsidR="00B62B8E" w:rsidRPr="00A22044" w:rsidRDefault="005F2D9B" w:rsidP="008B0970">
      <w:pPr>
        <w:pStyle w:val="PargrafodaLista"/>
        <w:numPr>
          <w:ilvl w:val="0"/>
          <w:numId w:val="30"/>
        </w:numPr>
        <w:rPr>
          <w:color w:val="auto"/>
        </w:rPr>
      </w:pPr>
      <w:r w:rsidRPr="00A22044">
        <w:rPr>
          <w:color w:val="auto"/>
        </w:rPr>
        <w:t>Que os profissionais e consultores que atuam diretamente nas atividades de orientação, recomendação e aconselhamento comprovem experiência profissional em atividades diretamente relacionadas à consultoria de valores mobiliários, gestão de recursos de terceiros ou análise de valores mobiliários;</w:t>
      </w:r>
    </w:p>
    <w:p w14:paraId="6B070D08" w14:textId="77777777" w:rsidR="00B62B8E" w:rsidRPr="00A22044" w:rsidRDefault="00B62B8E" w:rsidP="00B62B8E">
      <w:pPr>
        <w:pStyle w:val="PargrafodaLista"/>
        <w:rPr>
          <w:color w:val="auto"/>
        </w:rPr>
      </w:pPr>
    </w:p>
    <w:p w14:paraId="2319227A" w14:textId="4D09D5B9" w:rsidR="00064A98" w:rsidRPr="00A22044" w:rsidRDefault="005F2D9B" w:rsidP="008B0970">
      <w:pPr>
        <w:pStyle w:val="PargrafodaLista"/>
        <w:numPr>
          <w:ilvl w:val="0"/>
          <w:numId w:val="30"/>
        </w:numPr>
        <w:rPr>
          <w:color w:val="auto"/>
        </w:rPr>
      </w:pPr>
      <w:r w:rsidRPr="00A22044">
        <w:rPr>
          <w:color w:val="auto"/>
        </w:rPr>
        <w:t>Que os profissionais e consultores que atuam diretamente nas atividades de orientação, recomendação e aconselhamento comprovem possuírem no mínimo as certificações ANBIMA CEA e CGA e o registro de Consultor de Valores Mobiliários pessoa física</w:t>
      </w:r>
      <w:r w:rsidR="006E5598" w:rsidRPr="00A22044">
        <w:rPr>
          <w:color w:val="auto"/>
        </w:rPr>
        <w:t>.</w:t>
      </w:r>
    </w:p>
    <w:p w14:paraId="4B229D31" w14:textId="77777777" w:rsidR="00B62B8E" w:rsidRPr="00A22044" w:rsidRDefault="00B62B8E" w:rsidP="00B62B8E">
      <w:pPr>
        <w:rPr>
          <w:color w:val="auto"/>
        </w:rPr>
      </w:pPr>
    </w:p>
    <w:p w14:paraId="04FF7254" w14:textId="77777777" w:rsidR="00B62B8E" w:rsidRPr="00A22044" w:rsidRDefault="005F2D9B" w:rsidP="008B0970">
      <w:pPr>
        <w:rPr>
          <w:color w:val="auto"/>
        </w:rPr>
      </w:pPr>
      <w:r w:rsidRPr="00A22044">
        <w:rPr>
          <w:color w:val="auto"/>
        </w:rPr>
        <w:t>Não serão considerados aptos os prestadores de serviços que atuem exclusivamente com as atividades:</w:t>
      </w:r>
    </w:p>
    <w:p w14:paraId="11A93168" w14:textId="77777777" w:rsidR="00B62B8E" w:rsidRPr="00A22044" w:rsidRDefault="005F2D9B" w:rsidP="008B0970">
      <w:pPr>
        <w:pStyle w:val="PargrafodaLista"/>
        <w:numPr>
          <w:ilvl w:val="0"/>
          <w:numId w:val="31"/>
        </w:numPr>
        <w:rPr>
          <w:color w:val="auto"/>
        </w:rPr>
      </w:pPr>
      <w:r w:rsidRPr="00A22044">
        <w:rPr>
          <w:color w:val="auto"/>
        </w:rPr>
        <w:t>Como planejadores financeiros, cuja atuação circunscreva-se, dentre outros serviços, ao planejamento sucessório, produtos de previdência e administração de finanças em geral de seus clientes e que não envolvam a orientação, recomendação ou aconselhamento;</w:t>
      </w:r>
    </w:p>
    <w:p w14:paraId="7CBEF914" w14:textId="77777777" w:rsidR="00B62B8E" w:rsidRPr="00A22044" w:rsidRDefault="00B62B8E" w:rsidP="00B62B8E">
      <w:pPr>
        <w:pStyle w:val="PargrafodaLista"/>
        <w:rPr>
          <w:color w:val="auto"/>
        </w:rPr>
      </w:pPr>
    </w:p>
    <w:p w14:paraId="4C8D123A" w14:textId="0C20C904" w:rsidR="00B62B8E" w:rsidRPr="00A22044" w:rsidRDefault="005F2D9B" w:rsidP="008B0970">
      <w:pPr>
        <w:pStyle w:val="PargrafodaLista"/>
        <w:numPr>
          <w:ilvl w:val="0"/>
          <w:numId w:val="31"/>
        </w:numPr>
        <w:rPr>
          <w:color w:val="auto"/>
        </w:rPr>
      </w:pPr>
      <w:r w:rsidRPr="00A22044">
        <w:rPr>
          <w:color w:val="auto"/>
        </w:rPr>
        <w:t>Que promovam a elaboração de relatórios gerenciais ou de controle que objetivem, dentre outros, retratar a rentabilidade, composição e enquadramento de uma carteira de investimento à luz de políticas de investimento, regulamentos ou da regulamentação específica incidente sobre determinado tipo de cliente;</w:t>
      </w:r>
    </w:p>
    <w:p w14:paraId="5B010792" w14:textId="77777777" w:rsidR="00B62B8E" w:rsidRPr="00A22044" w:rsidRDefault="00B62B8E" w:rsidP="00B62B8E">
      <w:pPr>
        <w:pStyle w:val="PargrafodaLista"/>
        <w:rPr>
          <w:color w:val="auto"/>
        </w:rPr>
      </w:pPr>
    </w:p>
    <w:p w14:paraId="1274F750" w14:textId="1EF3E395" w:rsidR="005F2D9B" w:rsidRPr="00A22044" w:rsidRDefault="005F2D9B" w:rsidP="008B0970">
      <w:pPr>
        <w:pStyle w:val="PargrafodaLista"/>
        <w:numPr>
          <w:ilvl w:val="0"/>
          <w:numId w:val="31"/>
        </w:numPr>
        <w:rPr>
          <w:color w:val="auto"/>
        </w:rPr>
      </w:pPr>
      <w:r w:rsidRPr="00A22044">
        <w:rPr>
          <w:color w:val="auto"/>
        </w:rPr>
        <w:t>Como consultores especializados que não atuem nos mercados de valores mobiliários, tais como aqueles previstos nas regulamentações específicas sobre fundos de investimento em direitos creditórios e fundos de investimento imobiliário</w:t>
      </w:r>
      <w:r w:rsidR="000D347A" w:rsidRPr="00A22044">
        <w:rPr>
          <w:color w:val="auto"/>
        </w:rPr>
        <w:t xml:space="preserve"> e</w:t>
      </w:r>
    </w:p>
    <w:p w14:paraId="7831CDFC" w14:textId="77777777" w:rsidR="000D347A" w:rsidRPr="00A22044" w:rsidRDefault="000D347A" w:rsidP="000D347A">
      <w:pPr>
        <w:pStyle w:val="PargrafodaLista"/>
        <w:rPr>
          <w:color w:val="auto"/>
        </w:rPr>
      </w:pPr>
    </w:p>
    <w:p w14:paraId="6A3637CF" w14:textId="0E624310" w:rsidR="00FF0CA6" w:rsidRPr="00A22044" w:rsidRDefault="0010175C" w:rsidP="00FF0CA6">
      <w:pPr>
        <w:pStyle w:val="PargrafodaLista"/>
        <w:numPr>
          <w:ilvl w:val="0"/>
          <w:numId w:val="31"/>
        </w:numPr>
        <w:rPr>
          <w:color w:val="auto"/>
        </w:rPr>
      </w:pPr>
      <w:r w:rsidRPr="00A22044">
        <w:rPr>
          <w:color w:val="auto"/>
        </w:rPr>
        <w:t>Consultores de Valores Mobiliários que atua</w:t>
      </w:r>
      <w:r w:rsidR="00410796" w:rsidRPr="00A22044">
        <w:rPr>
          <w:color w:val="auto"/>
        </w:rPr>
        <w:t xml:space="preserve">m </w:t>
      </w:r>
      <w:r w:rsidRPr="00A22044">
        <w:rPr>
          <w:color w:val="auto"/>
        </w:rPr>
        <w:t>diretamente</w:t>
      </w:r>
      <w:r w:rsidR="00C112D7" w:rsidRPr="00A22044">
        <w:rPr>
          <w:color w:val="auto"/>
        </w:rPr>
        <w:t xml:space="preserve"> na estruturação, originação, gestão, administração e distribuição</w:t>
      </w:r>
      <w:r w:rsidR="00FF0CA6" w:rsidRPr="00A22044">
        <w:rPr>
          <w:color w:val="auto"/>
        </w:rPr>
        <w:t xml:space="preserve"> de </w:t>
      </w:r>
      <w:r w:rsidR="00410796" w:rsidRPr="00A22044">
        <w:rPr>
          <w:color w:val="auto"/>
        </w:rPr>
        <w:t>produtos de investimentos</w:t>
      </w:r>
      <w:r w:rsidR="00FF0CA6" w:rsidRPr="00A22044">
        <w:rPr>
          <w:color w:val="auto"/>
        </w:rPr>
        <w:t xml:space="preserve"> que sejam ob</w:t>
      </w:r>
      <w:r w:rsidR="00C112D7" w:rsidRPr="00A22044">
        <w:rPr>
          <w:color w:val="auto"/>
        </w:rPr>
        <w:t>jeto de orientação,</w:t>
      </w:r>
      <w:r w:rsidR="00FF0CA6" w:rsidRPr="00A22044">
        <w:rPr>
          <w:color w:val="auto"/>
        </w:rPr>
        <w:t xml:space="preserve"> </w:t>
      </w:r>
      <w:r w:rsidR="00C112D7" w:rsidRPr="00A22044">
        <w:rPr>
          <w:color w:val="auto"/>
        </w:rPr>
        <w:t>recomendação e aconselhamento aos seus clientes</w:t>
      </w:r>
      <w:r w:rsidR="005B5C59" w:rsidRPr="00A22044">
        <w:rPr>
          <w:color w:val="auto"/>
        </w:rPr>
        <w:t>.</w:t>
      </w:r>
    </w:p>
    <w:p w14:paraId="0F62535F" w14:textId="1CA71006" w:rsidR="00880139" w:rsidRPr="00A22044" w:rsidRDefault="00880139" w:rsidP="00FF0CA6">
      <w:pPr>
        <w:rPr>
          <w:color w:val="auto"/>
        </w:rPr>
      </w:pPr>
      <w:r w:rsidRPr="00A22044">
        <w:rPr>
          <w:color w:val="auto"/>
        </w:rPr>
        <w:t xml:space="preserve">Será admitido que o Consultor de Valores Mobiliários contratado e as entidades integrantes do sistema de distribuição de valores mobiliários e o </w:t>
      </w:r>
      <w:r w:rsidR="00F43E96" w:rsidRPr="00A22044">
        <w:rPr>
          <w:bCs/>
          <w:color w:val="auto"/>
          <w:szCs w:val="20"/>
        </w:rPr>
        <w:t>Instituto de Previdência dos Servidores Públicos do Município de Pitangueiras – PITANPREV</w:t>
      </w:r>
      <w:r w:rsidRPr="00A22044">
        <w:rPr>
          <w:b/>
          <w:color w:val="auto"/>
        </w:rPr>
        <w:t xml:space="preserve"> </w:t>
      </w:r>
      <w:r w:rsidRPr="00A22044">
        <w:rPr>
          <w:color w:val="auto"/>
        </w:rPr>
        <w:t xml:space="preserve">em comum acordo, estabeleçam canais de comunicação e ferramentas que permitam conferir maior agilidade e segurança à implementação das </w:t>
      </w:r>
      <w:r w:rsidR="00EF6270" w:rsidRPr="00A22044">
        <w:rPr>
          <w:color w:val="auto"/>
        </w:rPr>
        <w:t xml:space="preserve">orientações, recomendações e aconselhamentos na </w:t>
      </w:r>
      <w:r w:rsidRPr="00A22044">
        <w:rPr>
          <w:color w:val="auto"/>
        </w:rPr>
        <w:t>execução de ordens</w:t>
      </w:r>
      <w:r w:rsidR="005F1851" w:rsidRPr="00A22044">
        <w:rPr>
          <w:color w:val="auto"/>
        </w:rPr>
        <w:t>.</w:t>
      </w:r>
    </w:p>
    <w:p w14:paraId="1DF54F7E" w14:textId="30FA6988" w:rsidR="0026139D" w:rsidRPr="00A22044" w:rsidRDefault="00240597" w:rsidP="008B0970">
      <w:pPr>
        <w:rPr>
          <w:color w:val="auto"/>
        </w:rPr>
      </w:pPr>
      <w:r w:rsidRPr="00A22044">
        <w:rPr>
          <w:color w:val="auto"/>
        </w:rPr>
        <w:t>Não</w:t>
      </w:r>
      <w:r w:rsidR="00EE4115" w:rsidRPr="00A22044">
        <w:rPr>
          <w:color w:val="auto"/>
        </w:rPr>
        <w:t xml:space="preserve"> serão aceitas</w:t>
      </w:r>
      <w:r w:rsidR="0098327A" w:rsidRPr="00A22044">
        <w:rPr>
          <w:color w:val="auto"/>
        </w:rPr>
        <w:t xml:space="preserve"> ferramentas</w:t>
      </w:r>
      <w:r w:rsidR="00117A3B" w:rsidRPr="00A22044">
        <w:rPr>
          <w:color w:val="auto"/>
        </w:rPr>
        <w:t xml:space="preserve"> fornecidas ou disponibilizadas </w:t>
      </w:r>
      <w:r w:rsidR="00BD1C9D" w:rsidRPr="00A22044">
        <w:rPr>
          <w:color w:val="auto"/>
        </w:rPr>
        <w:t>pelos integrantes do sistema de distribuição de valores mobiliários</w:t>
      </w:r>
      <w:r w:rsidR="005E7795" w:rsidRPr="00A22044">
        <w:rPr>
          <w:color w:val="auto"/>
        </w:rPr>
        <w:t>,</w:t>
      </w:r>
      <w:r w:rsidR="00805DB1" w:rsidRPr="00A22044">
        <w:rPr>
          <w:color w:val="auto"/>
        </w:rPr>
        <w:t xml:space="preserve"> </w:t>
      </w:r>
      <w:r w:rsidR="00117A3B" w:rsidRPr="00A22044">
        <w:rPr>
          <w:color w:val="auto"/>
        </w:rPr>
        <w:t>mesmo que de forma gratuita</w:t>
      </w:r>
      <w:r w:rsidR="005411D4" w:rsidRPr="00A22044">
        <w:rPr>
          <w:color w:val="auto"/>
        </w:rPr>
        <w:t xml:space="preserve">, </w:t>
      </w:r>
      <w:r w:rsidR="00805DB1" w:rsidRPr="00A22044">
        <w:rPr>
          <w:color w:val="auto"/>
        </w:rPr>
        <w:t xml:space="preserve">não </w:t>
      </w:r>
      <w:r w:rsidR="005411D4" w:rsidRPr="00A22044">
        <w:rPr>
          <w:color w:val="auto"/>
        </w:rPr>
        <w:t xml:space="preserve">gerando assim Conflito de Interesse </w:t>
      </w:r>
      <w:r w:rsidR="00913E9C" w:rsidRPr="00A22044">
        <w:rPr>
          <w:color w:val="auto"/>
        </w:rPr>
        <w:t>ou a i</w:t>
      </w:r>
      <w:r w:rsidR="00805DB1" w:rsidRPr="00A22044">
        <w:rPr>
          <w:color w:val="auto"/>
        </w:rPr>
        <w:t>ndu</w:t>
      </w:r>
      <w:r w:rsidR="00913E9C" w:rsidRPr="00A22044">
        <w:rPr>
          <w:color w:val="auto"/>
        </w:rPr>
        <w:t>ção</w:t>
      </w:r>
      <w:r w:rsidR="00805DB1" w:rsidRPr="00A22044">
        <w:rPr>
          <w:color w:val="auto"/>
        </w:rPr>
        <w:t xml:space="preserve"> a erro</w:t>
      </w:r>
      <w:r w:rsidR="004F6A72" w:rsidRPr="00A22044">
        <w:rPr>
          <w:color w:val="auto"/>
        </w:rPr>
        <w:t>s</w:t>
      </w:r>
      <w:r w:rsidR="00913E9C" w:rsidRPr="00A22044">
        <w:rPr>
          <w:color w:val="auto"/>
        </w:rPr>
        <w:t xml:space="preserve"> </w:t>
      </w:r>
      <w:r w:rsidR="009E0D11" w:rsidRPr="00A22044">
        <w:rPr>
          <w:color w:val="auto"/>
        </w:rPr>
        <w:t xml:space="preserve">por parte do </w:t>
      </w:r>
      <w:r w:rsidR="00F43E96" w:rsidRPr="00A22044">
        <w:rPr>
          <w:bCs/>
          <w:color w:val="auto"/>
          <w:szCs w:val="20"/>
        </w:rPr>
        <w:t>Instituto de Previdência dos Servidores Públicos do Município de Pitangueiras – PITANPREV.</w:t>
      </w:r>
    </w:p>
    <w:p w14:paraId="22C1239A" w14:textId="62F251C5" w:rsidR="006B0FB7" w:rsidRPr="00A22044" w:rsidRDefault="006B0FB7" w:rsidP="00B62B8E">
      <w:pPr>
        <w:pStyle w:val="Ttulo1"/>
        <w:spacing w:before="360"/>
        <w:rPr>
          <w:color w:val="auto"/>
        </w:rPr>
      </w:pPr>
      <w:bookmarkStart w:id="17" w:name="_Toc496794775"/>
      <w:bookmarkStart w:id="18" w:name="_Toc435202746"/>
      <w:bookmarkStart w:id="19" w:name="_Toc490036552"/>
      <w:bookmarkStart w:id="20" w:name="_Toc90997476"/>
      <w:bookmarkEnd w:id="9"/>
      <w:bookmarkEnd w:id="10"/>
      <w:bookmarkEnd w:id="17"/>
      <w:r w:rsidRPr="00A22044">
        <w:rPr>
          <w:color w:val="auto"/>
        </w:rPr>
        <w:lastRenderedPageBreak/>
        <w:t>META</w:t>
      </w:r>
      <w:r w:rsidR="002A7247" w:rsidRPr="00A22044">
        <w:rPr>
          <w:color w:val="auto"/>
        </w:rPr>
        <w:t xml:space="preserve"> DE RENTABILIDADE</w:t>
      </w:r>
      <w:bookmarkEnd w:id="18"/>
      <w:bookmarkEnd w:id="19"/>
      <w:bookmarkEnd w:id="20"/>
    </w:p>
    <w:p w14:paraId="342393AD" w14:textId="1F102CEF" w:rsidR="00BF00B3" w:rsidRPr="00A22044" w:rsidRDefault="00BF00B3" w:rsidP="00B62B8E">
      <w:pPr>
        <w:rPr>
          <w:bCs/>
          <w:color w:val="auto"/>
          <w:szCs w:val="20"/>
        </w:rPr>
      </w:pPr>
      <w:r w:rsidRPr="00A22044">
        <w:rPr>
          <w:bCs/>
          <w:color w:val="auto"/>
          <w:szCs w:val="20"/>
        </w:rPr>
        <w:t xml:space="preserve">A Portaria MF n° 464, de 19 de novembro de 2018, que estabelece as </w:t>
      </w:r>
      <w:r w:rsidR="001A6EB3" w:rsidRPr="00A22044">
        <w:rPr>
          <w:bCs/>
          <w:color w:val="auto"/>
          <w:szCs w:val="20"/>
        </w:rPr>
        <w:t>normas aplicáveis às avaliações atuariais</w:t>
      </w:r>
      <w:r w:rsidRPr="00A22044">
        <w:rPr>
          <w:bCs/>
          <w:color w:val="auto"/>
          <w:szCs w:val="20"/>
        </w:rPr>
        <w:t xml:space="preserve"> dos Regimes Próprio de Previdência Social, determina que a taxa atuarial de juros a ser utilizada nas Avaliações Atuariais </w:t>
      </w:r>
      <w:r w:rsidR="00D03623" w:rsidRPr="00A22044">
        <w:rPr>
          <w:bCs/>
          <w:color w:val="auto"/>
          <w:szCs w:val="20"/>
        </w:rPr>
        <w:t xml:space="preserve">seja o </w:t>
      </w:r>
      <w:r w:rsidR="0049314C" w:rsidRPr="00A22044">
        <w:rPr>
          <w:bCs/>
          <w:color w:val="auto"/>
          <w:szCs w:val="20"/>
        </w:rPr>
        <w:t xml:space="preserve">menor percentual dentre o valor esperado da rentabilidade futura dos investimentos dos ativos garantidores do </w:t>
      </w:r>
      <w:r w:rsidR="00F43E96" w:rsidRPr="00A22044">
        <w:rPr>
          <w:bCs/>
          <w:color w:val="auto"/>
          <w:szCs w:val="20"/>
        </w:rPr>
        <w:t xml:space="preserve">Instituto de Previdência dos Servidores Públicos do Município de Pitangueiras </w:t>
      </w:r>
      <w:r w:rsidR="003B4049" w:rsidRPr="00A22044">
        <w:rPr>
          <w:bCs/>
          <w:color w:val="auto"/>
          <w:szCs w:val="20"/>
        </w:rPr>
        <w:t>–</w:t>
      </w:r>
      <w:r w:rsidR="00F43E96" w:rsidRPr="00A22044">
        <w:rPr>
          <w:bCs/>
          <w:color w:val="auto"/>
          <w:szCs w:val="20"/>
        </w:rPr>
        <w:t xml:space="preserve"> PITANPREV</w:t>
      </w:r>
      <w:r w:rsidR="001A6EB3" w:rsidRPr="00A22044">
        <w:rPr>
          <w:bCs/>
          <w:color w:val="auto"/>
          <w:szCs w:val="20"/>
        </w:rPr>
        <w:t xml:space="preserve"> </w:t>
      </w:r>
      <w:r w:rsidR="0049314C" w:rsidRPr="00A22044">
        <w:rPr>
          <w:bCs/>
          <w:color w:val="auto"/>
          <w:szCs w:val="20"/>
        </w:rPr>
        <w:t>e a taxa de juros parâmetro cujo ponto da Estrutura a Termo da Taxa de Juros Média seja o mais próximo à duração do passivo.</w:t>
      </w:r>
    </w:p>
    <w:p w14:paraId="76931939" w14:textId="6C7F6B38" w:rsidR="00C471CF" w:rsidRPr="00A22044" w:rsidRDefault="00C471CF" w:rsidP="00B62B8E">
      <w:pPr>
        <w:rPr>
          <w:bCs/>
          <w:color w:val="auto"/>
          <w:szCs w:val="20"/>
        </w:rPr>
      </w:pPr>
      <w:r w:rsidRPr="00A22044">
        <w:rPr>
          <w:bCs/>
          <w:color w:val="auto"/>
          <w:szCs w:val="20"/>
        </w:rPr>
        <w:t xml:space="preserve">A taxa de </w:t>
      </w:r>
      <w:r w:rsidR="00667AD0" w:rsidRPr="00A22044">
        <w:rPr>
          <w:bCs/>
          <w:color w:val="auto"/>
          <w:szCs w:val="20"/>
        </w:rPr>
        <w:t>desconto</w:t>
      </w:r>
      <w:r w:rsidR="009824E4" w:rsidRPr="00A22044">
        <w:rPr>
          <w:bCs/>
          <w:color w:val="auto"/>
          <w:szCs w:val="20"/>
        </w:rPr>
        <w:t xml:space="preserve">, também conhecida como meta atuarial, é </w:t>
      </w:r>
      <w:r w:rsidR="00667AD0" w:rsidRPr="00A22044">
        <w:rPr>
          <w:bCs/>
          <w:color w:val="auto"/>
          <w:szCs w:val="20"/>
        </w:rPr>
        <w:t>utilizada no c</w:t>
      </w:r>
      <w:r w:rsidR="00E02290" w:rsidRPr="00A22044">
        <w:rPr>
          <w:bCs/>
          <w:color w:val="auto"/>
          <w:szCs w:val="20"/>
        </w:rPr>
        <w:t xml:space="preserve">álculo das avaliações </w:t>
      </w:r>
      <w:r w:rsidR="00667AD0" w:rsidRPr="00A22044">
        <w:rPr>
          <w:bCs/>
          <w:color w:val="auto"/>
          <w:szCs w:val="20"/>
        </w:rPr>
        <w:t>atuari</w:t>
      </w:r>
      <w:r w:rsidR="00E02290" w:rsidRPr="00A22044">
        <w:rPr>
          <w:bCs/>
          <w:color w:val="auto"/>
          <w:szCs w:val="20"/>
        </w:rPr>
        <w:t>as</w:t>
      </w:r>
      <w:r w:rsidR="00667AD0" w:rsidRPr="00A22044">
        <w:rPr>
          <w:bCs/>
          <w:color w:val="auto"/>
          <w:szCs w:val="20"/>
        </w:rPr>
        <w:t xml:space="preserve"> para trazer o valor presente de todos os compromissos do plano de benefícios na linha do tempo</w:t>
      </w:r>
      <w:r w:rsidR="00952F7F" w:rsidRPr="00A22044">
        <w:rPr>
          <w:bCs/>
          <w:color w:val="auto"/>
          <w:szCs w:val="20"/>
        </w:rPr>
        <w:t xml:space="preserve"> e que </w:t>
      </w:r>
      <w:r w:rsidR="00667AD0" w:rsidRPr="00A22044">
        <w:rPr>
          <w:bCs/>
          <w:color w:val="auto"/>
          <w:szCs w:val="20"/>
        </w:rPr>
        <w:t>determina assim o quanto de patrimônio o Regime Próprio de Previdência Social deverá possuir para manter o equilíbrio atuarial.</w:t>
      </w:r>
    </w:p>
    <w:p w14:paraId="0FB664F3" w14:textId="519C9BD1" w:rsidR="00D03623" w:rsidRPr="00A22044" w:rsidRDefault="00830DBF" w:rsidP="00B62B8E">
      <w:pPr>
        <w:rPr>
          <w:bCs/>
          <w:color w:val="auto"/>
          <w:szCs w:val="20"/>
        </w:rPr>
      </w:pPr>
      <w:r w:rsidRPr="00A22044">
        <w:rPr>
          <w:bCs/>
          <w:color w:val="auto"/>
          <w:szCs w:val="20"/>
        </w:rPr>
        <w:t>E</w:t>
      </w:r>
      <w:r w:rsidR="00D03623" w:rsidRPr="00A22044">
        <w:rPr>
          <w:bCs/>
          <w:color w:val="auto"/>
          <w:szCs w:val="20"/>
        </w:rPr>
        <w:t>sse equilíbrio somente será possível de se obter caso os</w:t>
      </w:r>
      <w:r w:rsidR="00F20253" w:rsidRPr="00A22044">
        <w:rPr>
          <w:bCs/>
          <w:color w:val="auto"/>
          <w:szCs w:val="20"/>
        </w:rPr>
        <w:t xml:space="preserve"> recursos</w:t>
      </w:r>
      <w:r w:rsidR="00D03623" w:rsidRPr="00A22044">
        <w:rPr>
          <w:bCs/>
          <w:color w:val="auto"/>
          <w:szCs w:val="20"/>
        </w:rPr>
        <w:t xml:space="preserve"> sejam remunerados, no mínimo, por </w:t>
      </w:r>
      <w:r w:rsidRPr="00A22044">
        <w:rPr>
          <w:bCs/>
          <w:color w:val="auto"/>
          <w:szCs w:val="20"/>
        </w:rPr>
        <w:t>uma taxa igual ou</w:t>
      </w:r>
      <w:r w:rsidR="00F20253" w:rsidRPr="00A22044">
        <w:rPr>
          <w:bCs/>
          <w:color w:val="auto"/>
          <w:szCs w:val="20"/>
        </w:rPr>
        <w:t xml:space="preserve"> superior</w:t>
      </w:r>
      <w:r w:rsidR="00D03623" w:rsidRPr="00A22044">
        <w:rPr>
          <w:bCs/>
          <w:color w:val="auto"/>
          <w:szCs w:val="20"/>
        </w:rPr>
        <w:t>. Do contrário, se a taxa que remunera os</w:t>
      </w:r>
      <w:r w:rsidR="002E3B5C" w:rsidRPr="00A22044">
        <w:rPr>
          <w:bCs/>
          <w:color w:val="auto"/>
          <w:szCs w:val="20"/>
        </w:rPr>
        <w:t xml:space="preserve"> recursos</w:t>
      </w:r>
      <w:r w:rsidR="00D03623" w:rsidRPr="00A22044">
        <w:rPr>
          <w:bCs/>
          <w:color w:val="auto"/>
          <w:szCs w:val="20"/>
        </w:rPr>
        <w:t xml:space="preserve"> passe a ser inferior a taxa utilizada no cálculo atuarial, o plano de benefício se tornará insolvente, comprometendo o pagamento </w:t>
      </w:r>
      <w:r w:rsidR="00537C0C" w:rsidRPr="00A22044">
        <w:rPr>
          <w:bCs/>
          <w:color w:val="auto"/>
          <w:szCs w:val="20"/>
        </w:rPr>
        <w:t>futuro dos benefícios</w:t>
      </w:r>
      <w:r w:rsidR="00D03623" w:rsidRPr="00A22044">
        <w:rPr>
          <w:bCs/>
          <w:color w:val="auto"/>
          <w:szCs w:val="20"/>
        </w:rPr>
        <w:t>.</w:t>
      </w:r>
    </w:p>
    <w:p w14:paraId="027917B8" w14:textId="766031AD" w:rsidR="00DA21DB" w:rsidRPr="00A22044" w:rsidRDefault="00DA21DB" w:rsidP="00B62B8E">
      <w:pPr>
        <w:rPr>
          <w:bCs/>
          <w:color w:val="auto"/>
          <w:szCs w:val="20"/>
        </w:rPr>
      </w:pPr>
      <w:r w:rsidRPr="00A22044">
        <w:rPr>
          <w:bCs/>
          <w:color w:val="auto"/>
          <w:szCs w:val="20"/>
        </w:rPr>
        <w:t>Considerando a exposição da carteira e seus investimentos</w:t>
      </w:r>
      <w:r w:rsidR="003267E0" w:rsidRPr="00A22044">
        <w:rPr>
          <w:bCs/>
          <w:color w:val="auto"/>
          <w:szCs w:val="20"/>
        </w:rPr>
        <w:t xml:space="preserve">, </w:t>
      </w:r>
      <w:r w:rsidRPr="00A22044">
        <w:rPr>
          <w:bCs/>
          <w:color w:val="auto"/>
          <w:szCs w:val="20"/>
        </w:rPr>
        <w:t>as projeções dos indicadores de desempenho dos retornos sobre esses mesmos investimentos</w:t>
      </w:r>
      <w:r w:rsidR="003267E0" w:rsidRPr="00A22044">
        <w:rPr>
          <w:bCs/>
          <w:color w:val="auto"/>
          <w:szCs w:val="20"/>
        </w:rPr>
        <w:t>,</w:t>
      </w:r>
      <w:r w:rsidRPr="00A22044">
        <w:rPr>
          <w:bCs/>
          <w:color w:val="auto"/>
          <w:szCs w:val="20"/>
        </w:rPr>
        <w:t xml:space="preserve"> o valor esperado da rentabilidade futura dos investimentos dos ativos garantidores do</w:t>
      </w:r>
      <w:r w:rsidR="003267E0" w:rsidRPr="00A22044">
        <w:rPr>
          <w:bCs/>
          <w:color w:val="auto"/>
          <w:szCs w:val="20"/>
        </w:rPr>
        <w:t xml:space="preserve"> </w:t>
      </w:r>
      <w:r w:rsidR="003B4049" w:rsidRPr="00A22044">
        <w:rPr>
          <w:bCs/>
          <w:color w:val="auto"/>
          <w:szCs w:val="20"/>
        </w:rPr>
        <w:t>Instituto de Previdência dos Servidores Públicos do Município de Pitangueiras - PITANPREV</w:t>
      </w:r>
      <w:r w:rsidRPr="00A22044">
        <w:rPr>
          <w:bCs/>
          <w:color w:val="auto"/>
          <w:szCs w:val="20"/>
        </w:rPr>
        <w:t xml:space="preserve">, conhecida como META DE RENTABILIDADE é de </w:t>
      </w:r>
      <w:r w:rsidR="003B4049" w:rsidRPr="00A22044">
        <w:rPr>
          <w:bCs/>
          <w:color w:val="auto"/>
          <w:szCs w:val="20"/>
        </w:rPr>
        <w:t>IPCA</w:t>
      </w:r>
      <w:r w:rsidR="00265547" w:rsidRPr="00A22044">
        <w:rPr>
          <w:color w:val="auto"/>
          <w:szCs w:val="20"/>
        </w:rPr>
        <w:t xml:space="preserve"> </w:t>
      </w:r>
      <w:r w:rsidRPr="00A22044">
        <w:rPr>
          <w:color w:val="auto"/>
          <w:szCs w:val="20"/>
        </w:rPr>
        <w:t>+</w:t>
      </w:r>
      <w:r w:rsidR="00C86686" w:rsidRPr="00A22044">
        <w:rPr>
          <w:color w:val="auto"/>
          <w:szCs w:val="20"/>
        </w:rPr>
        <w:t xml:space="preserve"> </w:t>
      </w:r>
      <w:r w:rsidR="00655C90" w:rsidRPr="00A22044">
        <w:rPr>
          <w:color w:val="auto"/>
          <w:szCs w:val="20"/>
        </w:rPr>
        <w:t>4,86%</w:t>
      </w:r>
      <w:r w:rsidRPr="00A22044">
        <w:rPr>
          <w:bCs/>
          <w:color w:val="auto"/>
          <w:szCs w:val="20"/>
        </w:rPr>
        <w:t xml:space="preserve"> (</w:t>
      </w:r>
      <w:r w:rsidR="00655C90" w:rsidRPr="00A22044">
        <w:rPr>
          <w:bCs/>
          <w:color w:val="auto"/>
          <w:szCs w:val="20"/>
        </w:rPr>
        <w:t>quatro virgula oitenta e seis</w:t>
      </w:r>
      <w:r w:rsidRPr="00A22044">
        <w:rPr>
          <w:bCs/>
          <w:color w:val="auto"/>
          <w:szCs w:val="20"/>
        </w:rPr>
        <w:t xml:space="preserve"> por cen</w:t>
      </w:r>
      <w:r w:rsidR="004664B8" w:rsidRPr="00A22044">
        <w:rPr>
          <w:bCs/>
          <w:color w:val="auto"/>
          <w:szCs w:val="20"/>
        </w:rPr>
        <w:t>to)</w:t>
      </w:r>
      <w:r w:rsidRPr="00A22044">
        <w:rPr>
          <w:bCs/>
          <w:color w:val="auto"/>
          <w:szCs w:val="20"/>
        </w:rPr>
        <w:t>.</w:t>
      </w:r>
    </w:p>
    <w:p w14:paraId="2EAE940C" w14:textId="64104188" w:rsidR="008815C6" w:rsidRPr="00A22044" w:rsidRDefault="006B0FB7">
      <w:pPr>
        <w:rPr>
          <w:bCs/>
          <w:color w:val="auto"/>
          <w:szCs w:val="20"/>
        </w:rPr>
      </w:pPr>
      <w:r w:rsidRPr="00A22044">
        <w:rPr>
          <w:bCs/>
          <w:color w:val="auto"/>
          <w:szCs w:val="20"/>
        </w:rPr>
        <w:t>Ainda assim, o</w:t>
      </w:r>
      <w:r w:rsidR="00F7185A" w:rsidRPr="00A22044">
        <w:rPr>
          <w:bCs/>
          <w:color w:val="auto"/>
          <w:szCs w:val="20"/>
        </w:rPr>
        <w:t xml:space="preserve"> </w:t>
      </w:r>
      <w:r w:rsidR="003B4049" w:rsidRPr="00A22044">
        <w:rPr>
          <w:bCs/>
          <w:color w:val="auto"/>
          <w:szCs w:val="20"/>
        </w:rPr>
        <w:t>Instituto de Previdência dos Servidores Públicos do Município de Pitangueiras – PITANPREV</w:t>
      </w:r>
      <w:r w:rsidR="00F7185A" w:rsidRPr="00A22044">
        <w:rPr>
          <w:bCs/>
          <w:color w:val="auto"/>
          <w:szCs w:val="20"/>
        </w:rPr>
        <w:t xml:space="preserve"> </w:t>
      </w:r>
      <w:r w:rsidR="00164773" w:rsidRPr="00A22044">
        <w:rPr>
          <w:bCs/>
          <w:color w:val="auto"/>
          <w:szCs w:val="20"/>
        </w:rPr>
        <w:t xml:space="preserve">no exercício de sua </w:t>
      </w:r>
      <w:r w:rsidRPr="00A22044">
        <w:rPr>
          <w:bCs/>
          <w:color w:val="auto"/>
          <w:szCs w:val="20"/>
        </w:rPr>
        <w:t>execução</w:t>
      </w:r>
      <w:r w:rsidR="00164773" w:rsidRPr="00A22044">
        <w:rPr>
          <w:bCs/>
          <w:color w:val="auto"/>
          <w:szCs w:val="20"/>
        </w:rPr>
        <w:t>, através</w:t>
      </w:r>
      <w:r w:rsidRPr="00A22044">
        <w:rPr>
          <w:bCs/>
          <w:color w:val="auto"/>
          <w:szCs w:val="20"/>
        </w:rPr>
        <w:t xml:space="preserve"> de estudos </w:t>
      </w:r>
      <w:r w:rsidR="00164773" w:rsidRPr="00A22044">
        <w:rPr>
          <w:bCs/>
          <w:color w:val="auto"/>
          <w:szCs w:val="20"/>
        </w:rPr>
        <w:t>técnicos, promoverá o acompanhamento das duas taxas</w:t>
      </w:r>
      <w:r w:rsidR="002B12B6" w:rsidRPr="00A22044">
        <w:rPr>
          <w:bCs/>
          <w:color w:val="auto"/>
          <w:szCs w:val="20"/>
        </w:rPr>
        <w:t xml:space="preserve"> (</w:t>
      </w:r>
      <w:r w:rsidR="001967A1" w:rsidRPr="00A22044">
        <w:rPr>
          <w:bCs/>
          <w:color w:val="auto"/>
          <w:szCs w:val="20"/>
        </w:rPr>
        <w:t xml:space="preserve">meta de rentabilidade e taxa de </w:t>
      </w:r>
      <w:r w:rsidR="00DB7EEC" w:rsidRPr="00A22044">
        <w:rPr>
          <w:bCs/>
          <w:color w:val="auto"/>
          <w:szCs w:val="20"/>
        </w:rPr>
        <w:t xml:space="preserve">desconto ou </w:t>
      </w:r>
      <w:r w:rsidR="00111D7F" w:rsidRPr="00A22044">
        <w:rPr>
          <w:bCs/>
          <w:color w:val="auto"/>
          <w:szCs w:val="20"/>
        </w:rPr>
        <w:t>atuaria</w:t>
      </w:r>
      <w:r w:rsidR="002B12B6" w:rsidRPr="00A22044">
        <w:rPr>
          <w:bCs/>
          <w:color w:val="auto"/>
          <w:szCs w:val="20"/>
        </w:rPr>
        <w:t xml:space="preserve">l) </w:t>
      </w:r>
      <w:r w:rsidR="00164773" w:rsidRPr="00A22044">
        <w:rPr>
          <w:bCs/>
          <w:color w:val="auto"/>
          <w:szCs w:val="20"/>
        </w:rPr>
        <w:t xml:space="preserve">para </w:t>
      </w:r>
      <w:r w:rsidRPr="00A22044">
        <w:rPr>
          <w:bCs/>
          <w:color w:val="auto"/>
          <w:szCs w:val="20"/>
        </w:rPr>
        <w:t xml:space="preserve">que </w:t>
      </w:r>
      <w:r w:rsidR="00164773" w:rsidRPr="00A22044">
        <w:rPr>
          <w:bCs/>
          <w:color w:val="auto"/>
          <w:szCs w:val="20"/>
        </w:rPr>
        <w:t xml:space="preserve">seja </w:t>
      </w:r>
      <w:r w:rsidRPr="00A22044">
        <w:rPr>
          <w:bCs/>
          <w:color w:val="auto"/>
          <w:szCs w:val="20"/>
        </w:rPr>
        <w:t>evidenc</w:t>
      </w:r>
      <w:r w:rsidR="00164773" w:rsidRPr="00A22044">
        <w:rPr>
          <w:bCs/>
          <w:color w:val="auto"/>
          <w:szCs w:val="20"/>
        </w:rPr>
        <w:t>iado</w:t>
      </w:r>
      <w:r w:rsidRPr="00A22044">
        <w:rPr>
          <w:bCs/>
          <w:color w:val="auto"/>
          <w:szCs w:val="20"/>
        </w:rPr>
        <w:t xml:space="preserve">, no longo prazo, qual </w:t>
      </w:r>
      <w:r w:rsidR="00BA077C" w:rsidRPr="00A22044">
        <w:rPr>
          <w:bCs/>
          <w:color w:val="auto"/>
          <w:szCs w:val="20"/>
        </w:rPr>
        <w:t>proporcionava a melhor</w:t>
      </w:r>
      <w:r w:rsidR="009C66AE" w:rsidRPr="00A22044">
        <w:rPr>
          <w:bCs/>
          <w:color w:val="auto"/>
          <w:szCs w:val="20"/>
        </w:rPr>
        <w:t xml:space="preserve"> </w:t>
      </w:r>
      <w:r w:rsidRPr="00A22044">
        <w:rPr>
          <w:bCs/>
          <w:color w:val="auto"/>
          <w:szCs w:val="20"/>
        </w:rPr>
        <w:t>situação financeiro</w:t>
      </w:r>
      <w:r w:rsidR="00EE68A0" w:rsidRPr="00A22044">
        <w:rPr>
          <w:bCs/>
          <w:color w:val="auto"/>
          <w:szCs w:val="20"/>
        </w:rPr>
        <w:t xml:space="preserve"> </w:t>
      </w:r>
      <w:r w:rsidRPr="00A22044">
        <w:rPr>
          <w:bCs/>
          <w:color w:val="auto"/>
          <w:szCs w:val="20"/>
        </w:rPr>
        <w:t xml:space="preserve">atuarial </w:t>
      </w:r>
      <w:r w:rsidR="00BA077C" w:rsidRPr="00A22044">
        <w:rPr>
          <w:bCs/>
          <w:color w:val="auto"/>
          <w:szCs w:val="20"/>
        </w:rPr>
        <w:t xml:space="preserve">para o </w:t>
      </w:r>
      <w:r w:rsidRPr="00A22044">
        <w:rPr>
          <w:bCs/>
          <w:color w:val="auto"/>
          <w:szCs w:val="20"/>
        </w:rPr>
        <w:t>plano de benefícios previdenciários.</w:t>
      </w:r>
    </w:p>
    <w:p w14:paraId="4870BF41" w14:textId="53B3D2F1" w:rsidR="009430A1" w:rsidRPr="00A22044" w:rsidRDefault="004A2E49" w:rsidP="00B62B8E">
      <w:pPr>
        <w:pStyle w:val="Ttulo1"/>
        <w:spacing w:before="360"/>
        <w:rPr>
          <w:color w:val="auto"/>
        </w:rPr>
      </w:pPr>
      <w:bookmarkStart w:id="21" w:name="_Toc90997477"/>
      <w:bookmarkStart w:id="22" w:name="_Toc435202738"/>
      <w:bookmarkStart w:id="23" w:name="_Toc490036540"/>
      <w:bookmarkStart w:id="24" w:name="_Toc435202750"/>
      <w:bookmarkStart w:id="25" w:name="_Toc490036556"/>
      <w:r w:rsidRPr="00A22044">
        <w:rPr>
          <w:color w:val="auto"/>
        </w:rPr>
        <w:t>CENÁRIO ECONÔMICO</w:t>
      </w:r>
      <w:bookmarkEnd w:id="21"/>
    </w:p>
    <w:p w14:paraId="1FE2F589" w14:textId="60F258DE" w:rsidR="00CD3AB7" w:rsidRPr="002017B4" w:rsidRDefault="00CD3AB7" w:rsidP="003B4049">
      <w:pPr>
        <w:rPr>
          <w:rFonts w:cstheme="majorHAnsi"/>
          <w:b/>
          <w:color w:val="000000" w:themeColor="text1"/>
        </w:rPr>
      </w:pPr>
      <w:r w:rsidRPr="002017B4">
        <w:rPr>
          <w:rFonts w:cstheme="majorHAnsi"/>
          <w:b/>
          <w:color w:val="000000" w:themeColor="text1"/>
        </w:rPr>
        <w:t>RESUMO GERAL</w:t>
      </w:r>
    </w:p>
    <w:p w14:paraId="6BF954C1" w14:textId="2EEE9F02" w:rsidR="00827C59" w:rsidRPr="002017B4" w:rsidRDefault="00CD3AB7" w:rsidP="003B4049">
      <w:pPr>
        <w:rPr>
          <w:rFonts w:cstheme="majorHAnsi"/>
          <w:color w:val="000000"/>
        </w:rPr>
      </w:pPr>
      <w:r w:rsidRPr="002017B4">
        <w:rPr>
          <w:rFonts w:cstheme="majorHAnsi"/>
          <w:color w:val="000000"/>
        </w:rPr>
        <w:t>O Ibovespa, principal índice acionário do mercado, apresentou alta acumulada de 1,3% na primeira semana de novembro, o índice veio de um histórico de acumuladas quedas.</w:t>
      </w:r>
      <w:r w:rsidRPr="002017B4">
        <w:rPr>
          <w:rFonts w:cstheme="majorHAnsi"/>
          <w:color w:val="000000"/>
        </w:rPr>
        <w:br/>
      </w:r>
      <w:r w:rsidRPr="002017B4">
        <w:rPr>
          <w:rFonts w:cstheme="majorHAnsi"/>
          <w:color w:val="000000"/>
        </w:rPr>
        <w:br/>
        <w:t>Tivemos também, a divulgação da ata do Copom, onde foi apresentado de forma bem claro, as preocupações em relação as expectativas inflacionárias, e que de certa maneira, podem gerar um alto custo para a economia de longo prazo.</w:t>
      </w:r>
      <w:r w:rsidRPr="002017B4">
        <w:rPr>
          <w:rFonts w:cstheme="majorHAnsi"/>
          <w:color w:val="000000"/>
        </w:rPr>
        <w:br/>
      </w:r>
      <w:r w:rsidRPr="002017B4">
        <w:rPr>
          <w:rFonts w:cstheme="majorHAnsi"/>
          <w:color w:val="000000"/>
        </w:rPr>
        <w:br/>
        <w:t>Ainda na primeira semana, tivemos uma baixa volatilidade no mercado doméstico, tendo em vista o desenrolar do PEC dos precatórios, além do Ibovespa registrar uma alta acumulada de 1,44% na semana.</w:t>
      </w:r>
      <w:r w:rsidRPr="002017B4">
        <w:rPr>
          <w:rFonts w:cstheme="majorHAnsi"/>
          <w:color w:val="000000"/>
        </w:rPr>
        <w:br/>
      </w:r>
      <w:r w:rsidRPr="002017B4">
        <w:rPr>
          <w:rFonts w:cstheme="majorHAnsi"/>
          <w:color w:val="000000"/>
        </w:rPr>
        <w:br/>
        <w:t>Outro ponto sobre a PEC dos precatórios, foi a liberação de cerca de R$ 90 bilhões no orçamento, auxiliando a viabilização do Auxílio Brasil com o valor de R$ 400. A reação do mercado foi positiva, pois apesar da medida representar um furo no teto dos gastos representa controle por parte do governo.</w:t>
      </w:r>
      <w:r w:rsidRPr="002017B4">
        <w:rPr>
          <w:rFonts w:cstheme="majorHAnsi"/>
          <w:color w:val="000000"/>
        </w:rPr>
        <w:br/>
      </w:r>
      <w:r w:rsidRPr="002017B4">
        <w:rPr>
          <w:rFonts w:cstheme="majorHAnsi"/>
          <w:color w:val="000000"/>
        </w:rPr>
        <w:lastRenderedPageBreak/>
        <w:br/>
        <w:t>Também tivemos a divulgação do IPCA de outubro que avançou para 1,25% registrando uma alta acumulando 10,67% em 12 meses.</w:t>
      </w:r>
      <w:r w:rsidRPr="002017B4">
        <w:rPr>
          <w:rFonts w:cstheme="majorHAnsi"/>
          <w:color w:val="000000"/>
        </w:rPr>
        <w:br/>
      </w:r>
      <w:r w:rsidRPr="002017B4">
        <w:rPr>
          <w:rFonts w:cstheme="majorHAnsi"/>
          <w:color w:val="000000"/>
        </w:rPr>
        <w:br/>
        <w:t>Ao decorrer do mês, devido a PEC dos precatórios, o mercado apresentou bastante volatilidade, onde o Ibovespa apresentou um fechamento semanal de -3,10%.</w:t>
      </w:r>
      <w:r w:rsidRPr="002017B4">
        <w:rPr>
          <w:rFonts w:cstheme="majorHAnsi"/>
          <w:color w:val="000000"/>
        </w:rPr>
        <w:br/>
      </w:r>
      <w:r w:rsidRPr="002017B4">
        <w:rPr>
          <w:rFonts w:cstheme="majorHAnsi"/>
          <w:color w:val="000000"/>
        </w:rPr>
        <w:br/>
        <w:t>Ainda assim, no último pregão tivemos um alívio referente também a PEC dos precatórios na possível discussão do fatiamento da PEC, onde poderia ser aprovad</w:t>
      </w:r>
      <w:r w:rsidR="002017B4">
        <w:rPr>
          <w:rFonts w:cstheme="majorHAnsi"/>
          <w:color w:val="000000"/>
        </w:rPr>
        <w:t>a</w:t>
      </w:r>
      <w:r w:rsidRPr="002017B4">
        <w:rPr>
          <w:rFonts w:cstheme="majorHAnsi"/>
          <w:color w:val="000000"/>
        </w:rPr>
        <w:t xml:space="preserve"> parte do texto agora, que auxiliaria a aprovação da parte regulatória do Auxilio Brasil e a segunda parte poderia ser revisada e aprovada posteriormente. </w:t>
      </w:r>
    </w:p>
    <w:p w14:paraId="55AF84C9" w14:textId="31134EA6" w:rsidR="00CD3AB7" w:rsidRPr="002017B4" w:rsidRDefault="00CD3AB7" w:rsidP="002017B4">
      <w:pPr>
        <w:jc w:val="left"/>
        <w:rPr>
          <w:rFonts w:cstheme="majorHAnsi"/>
          <w:b/>
          <w:color w:val="000000"/>
        </w:rPr>
      </w:pPr>
      <w:r w:rsidRPr="002017B4">
        <w:rPr>
          <w:rFonts w:cstheme="majorHAnsi"/>
          <w:b/>
          <w:color w:val="000000"/>
        </w:rPr>
        <w:t>INTERNACIONAL</w:t>
      </w:r>
    </w:p>
    <w:p w14:paraId="07A204FA" w14:textId="1ACF05CF" w:rsidR="00CD3AB7" w:rsidRPr="002017B4" w:rsidRDefault="00CD3AB7" w:rsidP="0005662C">
      <w:pPr>
        <w:rPr>
          <w:rFonts w:cstheme="majorHAnsi"/>
          <w:color w:val="000000"/>
        </w:rPr>
      </w:pPr>
      <w:r w:rsidRPr="002017B4">
        <w:rPr>
          <w:rFonts w:cstheme="majorHAnsi"/>
          <w:color w:val="000000"/>
        </w:rPr>
        <w:t>Em novembro, surgiram os primeiros casos de nova cepa, conhecida como Omicrôn, trazendo consigo bastante volatilidade dos mercados. Os mercados globais nas últimas semanas do mês, fecharam em queda, devido ao medo de novas medidas restritivas relacionadas a nova cepa.</w:t>
      </w:r>
      <w:r w:rsidRPr="002017B4">
        <w:rPr>
          <w:rFonts w:cstheme="majorHAnsi"/>
          <w:color w:val="000000"/>
        </w:rPr>
        <w:br/>
      </w:r>
      <w:r w:rsidRPr="002017B4">
        <w:rPr>
          <w:rFonts w:cstheme="majorHAnsi"/>
          <w:color w:val="000000"/>
        </w:rPr>
        <w:br/>
        <w:t>Nos Estados Unidos, a reunião realizada pelo FED se mostrou em linha com as expectativas de mercado, anunciando o início do Tapering, que seria a redução da compra de títulos, impactando a liquidez global, e influenciando os ativos de risco.</w:t>
      </w:r>
      <w:r w:rsidRPr="002017B4">
        <w:rPr>
          <w:rFonts w:cstheme="majorHAnsi"/>
          <w:color w:val="000000"/>
        </w:rPr>
        <w:br/>
      </w:r>
      <w:r w:rsidRPr="002017B4">
        <w:rPr>
          <w:rFonts w:cstheme="majorHAnsi"/>
          <w:color w:val="000000"/>
        </w:rPr>
        <w:br/>
        <w:t>Também nos Estados Unidos, foi divulgada a maior alta de inflação desde 1990, o índice de preços ao consumidor acumulou em 12 meses 6,2%.</w:t>
      </w:r>
      <w:r w:rsidRPr="002017B4">
        <w:rPr>
          <w:rFonts w:cstheme="majorHAnsi"/>
          <w:color w:val="000000"/>
        </w:rPr>
        <w:br/>
      </w:r>
      <w:r w:rsidRPr="002017B4">
        <w:rPr>
          <w:rFonts w:cstheme="majorHAnsi"/>
          <w:color w:val="000000"/>
        </w:rPr>
        <w:br/>
        <w:t>O presidente americano Biden, nomeou Jerone Powell para o seu segundo mandato como presidente do FED. O presidente americano decidiu renovar seu mandato apesar da pressão da ala esquerda de seu Partido Democrata, que preferia um candidato mais próximo de suas ideias.</w:t>
      </w:r>
      <w:r w:rsidRPr="002017B4">
        <w:rPr>
          <w:rFonts w:cstheme="majorHAnsi"/>
          <w:color w:val="000000"/>
        </w:rPr>
        <w:br/>
      </w:r>
      <w:r w:rsidRPr="002017B4">
        <w:rPr>
          <w:rFonts w:cstheme="majorHAnsi"/>
          <w:color w:val="000000"/>
        </w:rPr>
        <w:br/>
        <w:t>Na China, os dados de vendas do varejo divulgados na segunda do mês de novembro, surpreenderam positivamente, com uma alta de 3,5% em outubro. Entretanto, os investidores seguem em alerta devido a economia chinesa ter sido afetada pela crise do setor imobiliário e crise energética que tem afetado a atividade industrial.</w:t>
      </w:r>
      <w:r w:rsidRPr="002017B4">
        <w:rPr>
          <w:rFonts w:cstheme="majorHAnsi"/>
          <w:color w:val="000000"/>
        </w:rPr>
        <w:br/>
      </w:r>
      <w:r w:rsidRPr="002017B4">
        <w:rPr>
          <w:rFonts w:cstheme="majorHAnsi"/>
          <w:color w:val="000000"/>
        </w:rPr>
        <w:br/>
        <w:t>Também na china, a inflação ao produtor, que mede o custo dos produtos vendidos às empresas, bateu um novo recorde em outubro, atingindo 13,5% em doses meses.</w:t>
      </w:r>
      <w:r w:rsidRPr="002017B4">
        <w:rPr>
          <w:rFonts w:cstheme="majorHAnsi"/>
          <w:color w:val="000000"/>
        </w:rPr>
        <w:br/>
      </w:r>
      <w:r w:rsidRPr="002017B4">
        <w:rPr>
          <w:rFonts w:cstheme="majorHAnsi"/>
          <w:color w:val="000000"/>
        </w:rPr>
        <w:br/>
        <w:t>Em contrapartida o Índice de Preços ao Consumidor, que mensura a variação de preço de determinados produtos da China, registrou uma aceleração de 0,7% para 1,5%.</w:t>
      </w:r>
      <w:r w:rsidRPr="002017B4">
        <w:rPr>
          <w:rFonts w:cstheme="majorHAnsi"/>
          <w:color w:val="000000"/>
        </w:rPr>
        <w:br/>
      </w:r>
      <w:r w:rsidRPr="002017B4">
        <w:rPr>
          <w:rFonts w:cstheme="majorHAnsi"/>
          <w:color w:val="000000"/>
        </w:rPr>
        <w:br/>
        <w:t>Já em relação a Evergrande, tivemos seus efeitos controlados pela China, que conseguiu praticamente anular o risco de calote da gigante da construção.</w:t>
      </w:r>
      <w:r w:rsidRPr="002017B4">
        <w:rPr>
          <w:rFonts w:cstheme="majorHAnsi"/>
          <w:color w:val="000000"/>
        </w:rPr>
        <w:br/>
      </w:r>
      <w:r w:rsidRPr="002017B4">
        <w:rPr>
          <w:rFonts w:cstheme="majorHAnsi"/>
          <w:color w:val="000000"/>
        </w:rPr>
        <w:br/>
        <w:t>No mercado internacional, em agenda global enfraquecida, os investidores estiveram atentos as declarações dos presidentes dos Bancos Centrais, acerca da condução da políti</w:t>
      </w:r>
      <w:r w:rsidR="0005662C">
        <w:rPr>
          <w:rFonts w:cstheme="majorHAnsi"/>
          <w:color w:val="000000"/>
        </w:rPr>
        <w:t xml:space="preserve">ca monetária e também agregando mais volatilidade nos </w:t>
      </w:r>
      <w:r w:rsidRPr="002017B4">
        <w:rPr>
          <w:rFonts w:cstheme="majorHAnsi"/>
          <w:color w:val="000000"/>
        </w:rPr>
        <w:t>mercados.</w:t>
      </w:r>
      <w:r w:rsidRPr="002017B4">
        <w:rPr>
          <w:rFonts w:cstheme="majorHAnsi"/>
          <w:color w:val="000000"/>
        </w:rPr>
        <w:br/>
      </w:r>
      <w:r w:rsidRPr="002017B4">
        <w:rPr>
          <w:rFonts w:cstheme="majorHAnsi"/>
          <w:color w:val="000000"/>
        </w:rPr>
        <w:lastRenderedPageBreak/>
        <w:br/>
        <w:t>O indicador de sentimento econômico da Comissão Europeia caiu a 117,5 pontos em novembro. Em outubro esse indicador era de 118,6 para os 19 países que usam o euro. Na indústria, o sentimento teve leve queda a 14,1 em novembro, de 14,2 em outubro. Para os serviços, o sentimento subiu a 18,4 de 18,0. A expectativa do mercado era de que ambos recuassem.</w:t>
      </w:r>
      <w:r w:rsidRPr="002017B4">
        <w:rPr>
          <w:rFonts w:cstheme="majorHAnsi"/>
          <w:color w:val="000000"/>
        </w:rPr>
        <w:br/>
      </w:r>
      <w:r w:rsidRPr="002017B4">
        <w:rPr>
          <w:rFonts w:cstheme="majorHAnsi"/>
          <w:color w:val="000000"/>
        </w:rPr>
        <w:br/>
        <w:t>Os principais setores que apresentaram melhora, foram os setores do varejo e da construção. Apesar da melhora nos setores, o sentimento econômico caiu dois pontos entre os consumidores, indo de -6,8 para -4,8.</w:t>
      </w:r>
      <w:r w:rsidRPr="002017B4">
        <w:rPr>
          <w:rFonts w:cstheme="majorHAnsi"/>
          <w:color w:val="000000"/>
        </w:rPr>
        <w:br/>
      </w:r>
      <w:r w:rsidRPr="002017B4">
        <w:rPr>
          <w:rFonts w:cstheme="majorHAnsi"/>
          <w:color w:val="000000"/>
        </w:rPr>
        <w:br/>
        <w:t>Na Alemanha, maior economia da Europa, vimos sua inflação ao consumidor atingir 4,5%, maior patamar</w:t>
      </w:r>
      <w:r w:rsidR="0005662C">
        <w:rPr>
          <w:rFonts w:cstheme="majorHAnsi"/>
          <w:color w:val="000000"/>
        </w:rPr>
        <w:t xml:space="preserve"> desde 1.993.</w:t>
      </w:r>
      <w:r w:rsidRPr="002017B4">
        <w:rPr>
          <w:rFonts w:cstheme="majorHAnsi"/>
          <w:color w:val="000000"/>
        </w:rPr>
        <w:br/>
      </w:r>
      <w:r w:rsidRPr="002017B4">
        <w:rPr>
          <w:rFonts w:cstheme="majorHAnsi"/>
          <w:color w:val="000000"/>
        </w:rPr>
        <w:br/>
        <w:t xml:space="preserve">Nas últimas semanas do mês, A Europa voltou a ser o grande epicentro da variante Ômicron, tendo a Alemanha como a mais afetada, onde discutiu-se bastante os temas relacionados a lockdown e medidas restritivas. </w:t>
      </w:r>
    </w:p>
    <w:p w14:paraId="61D29798" w14:textId="23746693" w:rsidR="00CD3AB7" w:rsidRDefault="00BB08FE" w:rsidP="00BB08FE">
      <w:pPr>
        <w:pStyle w:val="Ttulo2"/>
        <w:numPr>
          <w:ilvl w:val="0"/>
          <w:numId w:val="0"/>
        </w:numPr>
        <w:ind w:left="578" w:hanging="578"/>
      </w:pPr>
      <w:r w:rsidRPr="00BB08FE">
        <w:t>ATIVIDADE, EMPREGO E RENDA.</w:t>
      </w:r>
    </w:p>
    <w:p w14:paraId="11715947" w14:textId="77777777" w:rsidR="00BB08FE" w:rsidRDefault="00CD3AB7" w:rsidP="0005662C">
      <w:pPr>
        <w:rPr>
          <w:rFonts w:cstheme="majorHAnsi"/>
          <w:color w:val="000000"/>
        </w:rPr>
      </w:pPr>
      <w:r w:rsidRPr="002017B4">
        <w:rPr>
          <w:rFonts w:cstheme="majorHAnsi"/>
          <w:color w:val="000000"/>
        </w:rPr>
        <w:t>A taxa de desemprego no Brasil caiu para 12,6% no 3º trimestre do ano. Essa é a primeira vez desde o trimestre terminado em abril de 2020 em que a taxa de desemprego fica abaixo de 13%.</w:t>
      </w:r>
    </w:p>
    <w:p w14:paraId="6602795A" w14:textId="447AB017" w:rsidR="00BB08FE" w:rsidRDefault="00CD3AB7" w:rsidP="00BB08FE">
      <w:pPr>
        <w:jc w:val="center"/>
        <w:rPr>
          <w:rFonts w:cstheme="majorHAnsi"/>
          <w:color w:val="000000"/>
        </w:rPr>
      </w:pPr>
      <w:r w:rsidRPr="002017B4">
        <w:rPr>
          <w:rFonts w:cstheme="majorHAnsi"/>
          <w:color w:val="000000"/>
        </w:rPr>
        <w:br/>
      </w:r>
      <w:r w:rsidRPr="002017B4">
        <w:rPr>
          <w:rFonts w:cstheme="majorHAnsi"/>
          <w:color w:val="000000"/>
        </w:rPr>
        <w:br/>
      </w:r>
      <w:r w:rsidRPr="002017B4">
        <w:rPr>
          <w:rFonts w:cstheme="majorHAnsi"/>
          <w:noProof/>
          <w:lang w:eastAsia="pt-BR"/>
        </w:rPr>
        <w:drawing>
          <wp:inline distT="0" distB="0" distL="0" distR="0" wp14:anchorId="4AACCA1D" wp14:editId="669690A7">
            <wp:extent cx="2971800" cy="1879647"/>
            <wp:effectExtent l="0" t="0" r="0" b="6350"/>
            <wp:docPr id="1" name="Imagem 1" descr="https://siru.com.br/plataforma/flip/flip/pics/evolucao_desempre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ru.com.br/plataforma/flip/flip/pics/evolucao_desemprego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5374" cy="1881907"/>
                    </a:xfrm>
                    <a:prstGeom prst="rect">
                      <a:avLst/>
                    </a:prstGeom>
                    <a:noFill/>
                    <a:ln>
                      <a:noFill/>
                    </a:ln>
                  </pic:spPr>
                </pic:pic>
              </a:graphicData>
            </a:graphic>
          </wp:inline>
        </w:drawing>
      </w:r>
      <w:r w:rsidRPr="002017B4">
        <w:rPr>
          <w:rFonts w:cstheme="majorHAnsi"/>
          <w:color w:val="000000"/>
        </w:rPr>
        <w:br/>
      </w:r>
    </w:p>
    <w:p w14:paraId="1DF06E86" w14:textId="07F65D99" w:rsidR="00CD3AB7" w:rsidRPr="002017B4" w:rsidRDefault="00CD3AB7" w:rsidP="0005662C">
      <w:pPr>
        <w:rPr>
          <w:rFonts w:cstheme="majorHAnsi"/>
          <w:color w:val="000000"/>
        </w:rPr>
      </w:pPr>
      <w:r w:rsidRPr="002017B4">
        <w:rPr>
          <w:rFonts w:cstheme="majorHAnsi"/>
          <w:color w:val="000000"/>
        </w:rPr>
        <w:br/>
        <w:t>As maiores taxas de desemprego foram registradas em Pernambuco (19,3%), Bahia (18,7%), Amapá (17,5%) e Alagoas (17,1%). Já as menores, em Santa Catarina (5,3%), Mato Grosso (6,6%), Mato Grosso do Sul (7,6%) e Rondônia (7,8%).</w:t>
      </w:r>
    </w:p>
    <w:p w14:paraId="5A60E0DC" w14:textId="77777777" w:rsidR="00BB08FE" w:rsidRDefault="00CD3AB7" w:rsidP="0005662C">
      <w:pPr>
        <w:rPr>
          <w:rFonts w:cstheme="majorHAnsi"/>
          <w:color w:val="000000"/>
        </w:rPr>
      </w:pPr>
      <w:r w:rsidRPr="002017B4">
        <w:rPr>
          <w:rFonts w:cstheme="majorHAnsi"/>
          <w:color w:val="000000"/>
        </w:rPr>
        <w:t>Apesar da queda do desemprego, o rendimento dos brasileiros caiu pelo 4º trimestre seguido, afetado pela geração de vagas precárias e pressionado também pela inflação nas alturas, que passou de 10% no acumulado em 12 meses.</w:t>
      </w:r>
    </w:p>
    <w:p w14:paraId="65026377" w14:textId="77777777" w:rsidR="00BB08FE" w:rsidRDefault="00BB08FE" w:rsidP="002017B4">
      <w:pPr>
        <w:jc w:val="left"/>
        <w:rPr>
          <w:rFonts w:cstheme="majorHAnsi"/>
          <w:color w:val="000000"/>
        </w:rPr>
      </w:pPr>
    </w:p>
    <w:p w14:paraId="3593CA18" w14:textId="77777777" w:rsidR="00BB08FE" w:rsidRDefault="00CD3AB7" w:rsidP="00BB08FE">
      <w:pPr>
        <w:jc w:val="center"/>
        <w:rPr>
          <w:rFonts w:cstheme="majorHAnsi"/>
          <w:color w:val="000000"/>
        </w:rPr>
      </w:pPr>
      <w:r w:rsidRPr="002017B4">
        <w:rPr>
          <w:rFonts w:cstheme="majorHAnsi"/>
          <w:noProof/>
          <w:lang w:eastAsia="pt-BR"/>
        </w:rPr>
        <w:lastRenderedPageBreak/>
        <w:drawing>
          <wp:inline distT="0" distB="0" distL="0" distR="0" wp14:anchorId="6CD599B7" wp14:editId="60D3F2FA">
            <wp:extent cx="2946400" cy="2164995"/>
            <wp:effectExtent l="0" t="0" r="6350" b="6985"/>
            <wp:docPr id="2" name="Imagem 2" descr="https://siru.com.br/plataforma/flip/flip/pics/rend_medi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ru.com.br/plataforma/flip/flip/pics/rend_medio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6400" cy="2164995"/>
                    </a:xfrm>
                    <a:prstGeom prst="rect">
                      <a:avLst/>
                    </a:prstGeom>
                    <a:noFill/>
                    <a:ln>
                      <a:noFill/>
                    </a:ln>
                  </pic:spPr>
                </pic:pic>
              </a:graphicData>
            </a:graphic>
          </wp:inline>
        </w:drawing>
      </w:r>
      <w:r w:rsidRPr="002017B4">
        <w:rPr>
          <w:rFonts w:cstheme="majorHAnsi"/>
          <w:color w:val="000000"/>
        </w:rPr>
        <w:br/>
      </w:r>
      <w:r w:rsidRPr="002017B4">
        <w:rPr>
          <w:rFonts w:cstheme="majorHAnsi"/>
          <w:color w:val="000000"/>
        </w:rPr>
        <w:br/>
      </w:r>
    </w:p>
    <w:p w14:paraId="6DA5AE1A" w14:textId="01BCBD2F" w:rsidR="00CD3AB7" w:rsidRDefault="00CD3AB7" w:rsidP="0005662C">
      <w:pPr>
        <w:rPr>
          <w:rFonts w:cstheme="majorHAnsi"/>
          <w:color w:val="000000"/>
        </w:rPr>
      </w:pPr>
      <w:r w:rsidRPr="002017B4">
        <w:rPr>
          <w:rFonts w:cstheme="majorHAnsi"/>
          <w:color w:val="000000"/>
        </w:rPr>
        <w:t>Apesar da queda do desemprego, o rendimento dos brasileiros caiu pelo 4º trimestre seguido, afetado pela geração de vagas precárias e pressionado também pela inflação nas alturas, que passou de 10% no acumulado em 12 meses.</w:t>
      </w:r>
    </w:p>
    <w:p w14:paraId="35CF5D9D" w14:textId="6A4D4468" w:rsidR="00BB08FE" w:rsidRPr="0005662C" w:rsidRDefault="00BB08FE" w:rsidP="0005662C">
      <w:pPr>
        <w:rPr>
          <w:color w:val="auto"/>
        </w:rPr>
      </w:pPr>
      <w:r w:rsidRPr="0005662C">
        <w:rPr>
          <w:color w:val="auto"/>
        </w:rPr>
        <w:t>SETOR PÚBLICO</w:t>
      </w:r>
    </w:p>
    <w:p w14:paraId="7BFA1BF6" w14:textId="77777777" w:rsidR="00BB08FE" w:rsidRPr="0005662C" w:rsidRDefault="00CD3AB7" w:rsidP="0005662C">
      <w:pPr>
        <w:rPr>
          <w:color w:val="auto"/>
        </w:rPr>
      </w:pPr>
      <w:r w:rsidRPr="0005662C">
        <w:rPr>
          <w:color w:val="auto"/>
        </w:rPr>
        <w:t>A balança comercial registrou déficit de US$ 1,307 bilhão em novembro deste ano, o que significa que as importações superaram as exportações. O resultado representa o primeiro saldo negativo do ano.</w:t>
      </w:r>
      <w:r w:rsidRPr="0005662C">
        <w:rPr>
          <w:color w:val="auto"/>
        </w:rPr>
        <w:br/>
      </w:r>
      <w:r w:rsidRPr="0005662C">
        <w:rPr>
          <w:color w:val="auto"/>
        </w:rPr>
        <w:br/>
        <w:t>No acumulado de janeiro a novembro de 2021, em comparação ao mesmo período do ano passado, as exportações cresceram 34,9% e somaram US$ 256,10 bilhões. Já as importações cresceram 39,7% e totalizaram US$ 198,91 bilhões.</w:t>
      </w:r>
    </w:p>
    <w:p w14:paraId="5A961594" w14:textId="09F74E37" w:rsidR="00CD3AB7" w:rsidRPr="002017B4" w:rsidRDefault="00CD3AB7" w:rsidP="00BB08FE">
      <w:pPr>
        <w:pStyle w:val="Ttulo2"/>
        <w:numPr>
          <w:ilvl w:val="0"/>
          <w:numId w:val="0"/>
        </w:numPr>
        <w:jc w:val="center"/>
        <w:rPr>
          <w:color w:val="000000"/>
        </w:rPr>
      </w:pPr>
      <w:r w:rsidRPr="002017B4">
        <w:rPr>
          <w:noProof/>
          <w:color w:val="000000"/>
          <w:lang w:eastAsia="pt-BR"/>
        </w:rPr>
        <w:drawing>
          <wp:inline distT="0" distB="0" distL="0" distR="0" wp14:anchorId="002A3F8F" wp14:editId="6FED4196">
            <wp:extent cx="3130550" cy="2311907"/>
            <wp:effectExtent l="0" t="0" r="0" b="0"/>
            <wp:docPr id="3" name="Imagem 3" descr="https://siru.com.br/plataforma/flip/flip/pics/balanca_comer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ru.com.br/plataforma/flip/flip/pics/balanca_comerci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0" cy="2311907"/>
                    </a:xfrm>
                    <a:prstGeom prst="rect">
                      <a:avLst/>
                    </a:prstGeom>
                    <a:noFill/>
                    <a:ln>
                      <a:noFill/>
                    </a:ln>
                  </pic:spPr>
                </pic:pic>
              </a:graphicData>
            </a:graphic>
          </wp:inline>
        </w:drawing>
      </w:r>
    </w:p>
    <w:p w14:paraId="70838B4A" w14:textId="1CF7C601" w:rsidR="00CD3AB7" w:rsidRPr="002017B4" w:rsidRDefault="00CD3AB7" w:rsidP="0005662C">
      <w:pPr>
        <w:rPr>
          <w:rFonts w:cstheme="majorHAnsi"/>
          <w:color w:val="000000"/>
        </w:rPr>
      </w:pPr>
      <w:r w:rsidRPr="002017B4">
        <w:rPr>
          <w:rFonts w:cstheme="majorHAnsi"/>
          <w:color w:val="000000"/>
        </w:rPr>
        <w:t>Apesar do déficit de novembro, a balança comercial registrou superávit de US$ 57,191 bilhões no acumulado dos 11 primeiros meses deste ano, novo recorde para o período. A série histórica oficial do governo tem início em 1989.</w:t>
      </w:r>
      <w:r w:rsidRPr="002017B4">
        <w:rPr>
          <w:rFonts w:cstheme="majorHAnsi"/>
          <w:color w:val="000000"/>
        </w:rPr>
        <w:br/>
      </w:r>
      <w:r w:rsidRPr="002017B4">
        <w:rPr>
          <w:rFonts w:cstheme="majorHAnsi"/>
          <w:color w:val="000000"/>
        </w:rPr>
        <w:br/>
        <w:t xml:space="preserve">O bom desempenho parcial de 2021 acontece em um ano marcado pelo crescimento dos preços das </w:t>
      </w:r>
      <w:r w:rsidRPr="002017B4">
        <w:rPr>
          <w:rFonts w:cstheme="majorHAnsi"/>
          <w:color w:val="000000"/>
        </w:rPr>
        <w:lastRenderedPageBreak/>
        <w:t xml:space="preserve">"commodities". </w:t>
      </w:r>
      <w:r w:rsidR="00BB08FE">
        <w:rPr>
          <w:rFonts w:cstheme="majorHAnsi"/>
          <w:color w:val="000000"/>
        </w:rPr>
        <w:t>A</w:t>
      </w:r>
      <w:r w:rsidRPr="002017B4">
        <w:rPr>
          <w:rFonts w:cstheme="majorHAnsi"/>
          <w:color w:val="000000"/>
        </w:rPr>
        <w:t>lém da alta da moeda norte-americana, que faz com que os produtos brasileiros se tornem mais baratos lá fora.</w:t>
      </w:r>
    </w:p>
    <w:p w14:paraId="7FA8D485" w14:textId="5E60A2F1" w:rsidR="00CD3AB7" w:rsidRPr="002017B4" w:rsidRDefault="00BB08FE" w:rsidP="0005662C">
      <w:pPr>
        <w:pStyle w:val="Ttulo2"/>
        <w:numPr>
          <w:ilvl w:val="0"/>
          <w:numId w:val="0"/>
        </w:numPr>
        <w:ind w:left="578" w:hanging="578"/>
        <w:jc w:val="both"/>
      </w:pPr>
      <w:r w:rsidRPr="002017B4">
        <w:t>INFLAÇÃO</w:t>
      </w:r>
    </w:p>
    <w:p w14:paraId="14B69B16" w14:textId="0AEDE64F" w:rsidR="00CD3AB7" w:rsidRPr="002017B4" w:rsidRDefault="00CD3AB7" w:rsidP="0005662C">
      <w:pPr>
        <w:rPr>
          <w:rFonts w:cstheme="majorHAnsi"/>
          <w:color w:val="000000"/>
        </w:rPr>
      </w:pPr>
      <w:r w:rsidRPr="002017B4">
        <w:rPr>
          <w:rFonts w:cstheme="majorHAnsi"/>
          <w:color w:val="000000"/>
        </w:rPr>
        <w:t>O Conselho Monetário Nacional (CMN) determinou que a meta da inflação do ano de 2021 é de 3,75%, com margem de tolerância de 1,5 ponto percentual para mais ou para menos, ou seja, podendo variar de 2,25% a 5,25%.</w:t>
      </w:r>
      <w:r w:rsidRPr="002017B4">
        <w:rPr>
          <w:rFonts w:cstheme="majorHAnsi"/>
          <w:color w:val="000000"/>
        </w:rPr>
        <w:br/>
      </w:r>
      <w:r w:rsidRPr="002017B4">
        <w:rPr>
          <w:rFonts w:cstheme="majorHAnsi"/>
          <w:color w:val="000000"/>
        </w:rPr>
        <w:br/>
        <w:t>O IPCA (Índice de Preços do Consumidor Amplo) iniciou 2021 com desaceleração em comparação com dezembro do ano anterior e fechou o mês com 0,25%.</w:t>
      </w:r>
      <w:r w:rsidRPr="002017B4">
        <w:rPr>
          <w:rFonts w:cstheme="majorHAnsi"/>
          <w:color w:val="000000"/>
        </w:rPr>
        <w:br/>
      </w:r>
      <w:r w:rsidRPr="002017B4">
        <w:rPr>
          <w:rFonts w:cstheme="majorHAnsi"/>
          <w:color w:val="000000"/>
        </w:rPr>
        <w:br/>
        <w:t>Porém em fevereiro, o índice registrou alta acima do que se era esperado e encerrou o mês com 0,86%, sendo impactado principalmente pelo aumento do preço da gasolina.</w:t>
      </w:r>
      <w:r w:rsidRPr="002017B4">
        <w:rPr>
          <w:rFonts w:cstheme="majorHAnsi"/>
          <w:color w:val="000000"/>
        </w:rPr>
        <w:br/>
      </w:r>
      <w:r w:rsidRPr="002017B4">
        <w:rPr>
          <w:rFonts w:cstheme="majorHAnsi"/>
          <w:color w:val="000000"/>
        </w:rPr>
        <w:br/>
        <w:t>Na maioria dos meses seguintes, o IPCA continuou registrando alta acima do que se era esperado, dado principalmente pela elevação dos preços dos combustíveis, da energia elétrica e dos alimentos.</w:t>
      </w:r>
      <w:r w:rsidRPr="002017B4">
        <w:rPr>
          <w:rFonts w:cstheme="majorHAnsi"/>
          <w:color w:val="000000"/>
        </w:rPr>
        <w:br/>
      </w:r>
      <w:r w:rsidRPr="002017B4">
        <w:rPr>
          <w:rFonts w:cstheme="majorHAnsi"/>
          <w:color w:val="000000"/>
        </w:rPr>
        <w:br/>
        <w:t>No mês de outubro o índice acelerou 1,25%, sendo a maior alta para o mês desde 2002. Com isso, até outubro, a inflação acumula alta de 8,24% em 2021 e alta de 10,67% nos últimos 12 meses.</w:t>
      </w:r>
    </w:p>
    <w:p w14:paraId="18CCB24E" w14:textId="77777777" w:rsidR="00BB08FE" w:rsidRDefault="00CD3AB7" w:rsidP="0005662C">
      <w:pPr>
        <w:rPr>
          <w:rFonts w:cstheme="majorHAnsi"/>
          <w:color w:val="000000"/>
        </w:rPr>
      </w:pPr>
      <w:r w:rsidRPr="002017B4">
        <w:rPr>
          <w:rFonts w:cstheme="majorHAnsi"/>
          <w:color w:val="000000"/>
        </w:rPr>
        <w:t>O relatório “Focus” divulgado pelo Banco Central em 6 de dezembro apresenta aumento da projeção dos analistas para o IPCA, onde consta que a estimativa da inflação oficial brasileira é alcançar 10,18%, ou seja, acima do que se era esperado no começo do ano.</w:t>
      </w:r>
    </w:p>
    <w:p w14:paraId="79378695" w14:textId="77777777" w:rsidR="00BB08FE" w:rsidRDefault="00CD3AB7" w:rsidP="0005662C">
      <w:pPr>
        <w:rPr>
          <w:rFonts w:cstheme="majorHAnsi"/>
          <w:color w:val="000000"/>
        </w:rPr>
      </w:pPr>
      <w:r w:rsidRPr="002017B4">
        <w:rPr>
          <w:rFonts w:cstheme="majorHAnsi"/>
          <w:color w:val="000000"/>
        </w:rPr>
        <w:br/>
      </w:r>
      <w:r w:rsidRPr="002017B4">
        <w:rPr>
          <w:rFonts w:cstheme="majorHAnsi"/>
          <w:color w:val="000000"/>
        </w:rPr>
        <w:br/>
      </w:r>
      <w:r w:rsidRPr="002017B4">
        <w:rPr>
          <w:rFonts w:cstheme="majorHAnsi"/>
          <w:noProof/>
          <w:lang w:eastAsia="pt-BR"/>
        </w:rPr>
        <w:drawing>
          <wp:inline distT="0" distB="0" distL="0" distR="0" wp14:anchorId="63D08620" wp14:editId="0FDC7DA4">
            <wp:extent cx="4224103" cy="2470150"/>
            <wp:effectExtent l="0" t="0" r="5080" b="6350"/>
            <wp:docPr id="4" name="Imagem 4" descr="https://siru.com.br/plataforma/flip/flip/pics/ipca_n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ru.com.br/plataforma/flip/flip/pics/ipca_no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4103" cy="2470150"/>
                    </a:xfrm>
                    <a:prstGeom prst="rect">
                      <a:avLst/>
                    </a:prstGeom>
                    <a:noFill/>
                    <a:ln>
                      <a:noFill/>
                    </a:ln>
                  </pic:spPr>
                </pic:pic>
              </a:graphicData>
            </a:graphic>
          </wp:inline>
        </w:drawing>
      </w:r>
      <w:r w:rsidRPr="002017B4">
        <w:rPr>
          <w:rFonts w:cstheme="majorHAnsi"/>
          <w:color w:val="000000"/>
        </w:rPr>
        <w:br/>
      </w:r>
      <w:r w:rsidRPr="002017B4">
        <w:rPr>
          <w:rFonts w:cstheme="majorHAnsi"/>
          <w:color w:val="000000"/>
        </w:rPr>
        <w:br/>
        <w:t>O INPC (Índice Nacional de Preços ao Consumidor) registrou aceleração em todos os meses de 2021, sendo impactado principalmente pela alta do preço dos produtos alimentícios. Até outubro, o índice acumula alta de 8,45% em 2021 e de 11,08% em 12 meses.</w:t>
      </w:r>
      <w:r w:rsidRPr="002017B4">
        <w:rPr>
          <w:rFonts w:cstheme="majorHAnsi"/>
          <w:color w:val="000000"/>
        </w:rPr>
        <w:br/>
      </w:r>
      <w:r w:rsidRPr="002017B4">
        <w:rPr>
          <w:rFonts w:cstheme="majorHAnsi"/>
          <w:color w:val="000000"/>
        </w:rPr>
        <w:br/>
        <w:t xml:space="preserve">A projeção do índice sofreu elevação de 8,40% para 10,04% de acordo com o Boletim Macrofiscal do </w:t>
      </w:r>
      <w:r w:rsidRPr="002017B4">
        <w:rPr>
          <w:rFonts w:cstheme="majorHAnsi"/>
          <w:color w:val="000000"/>
        </w:rPr>
        <w:lastRenderedPageBreak/>
        <w:t>Ministério da Economia</w:t>
      </w:r>
      <w:r w:rsidR="00B87521" w:rsidRPr="002017B4">
        <w:rPr>
          <w:rFonts w:cstheme="majorHAnsi"/>
          <w:color w:val="000000"/>
        </w:rPr>
        <w:t xml:space="preserve"> divulgado no dia 17 de novembro. Sendo assim, a expectativa é de que o salário mínimo possuirá um aumento maior do que foi proposto no mês de agosto.</w:t>
      </w:r>
    </w:p>
    <w:p w14:paraId="59E1C924" w14:textId="77777777" w:rsidR="00BB08FE" w:rsidRDefault="00BB08FE" w:rsidP="00BB08FE">
      <w:pPr>
        <w:jc w:val="left"/>
        <w:rPr>
          <w:rFonts w:cstheme="majorHAnsi"/>
          <w:color w:val="000000"/>
        </w:rPr>
      </w:pPr>
    </w:p>
    <w:p w14:paraId="63A91F11" w14:textId="62330208" w:rsidR="00CD3AB7" w:rsidRPr="002017B4" w:rsidRDefault="00B87521" w:rsidP="00BB08FE">
      <w:pPr>
        <w:jc w:val="center"/>
        <w:rPr>
          <w:rFonts w:cstheme="majorHAnsi"/>
          <w:color w:val="000000"/>
        </w:rPr>
      </w:pPr>
      <w:r w:rsidRPr="002017B4">
        <w:rPr>
          <w:rFonts w:cstheme="majorHAnsi"/>
          <w:color w:val="000000"/>
        </w:rPr>
        <w:br/>
      </w:r>
      <w:r w:rsidRPr="002017B4">
        <w:rPr>
          <w:rFonts w:cstheme="majorHAnsi"/>
          <w:noProof/>
          <w:lang w:eastAsia="pt-BR"/>
        </w:rPr>
        <w:drawing>
          <wp:inline distT="0" distB="0" distL="0" distR="0" wp14:anchorId="118A6DF3" wp14:editId="3C2DA5D7">
            <wp:extent cx="3460750" cy="2020536"/>
            <wp:effectExtent l="0" t="0" r="6350" b="0"/>
            <wp:docPr id="5" name="Imagem 5" descr="https://siru.com.br/plataforma/flip/flip/pics/inpc_n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ru.com.br/plataforma/flip/flip/pics/inpc_no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2154" cy="2021356"/>
                    </a:xfrm>
                    <a:prstGeom prst="rect">
                      <a:avLst/>
                    </a:prstGeom>
                    <a:noFill/>
                    <a:ln>
                      <a:noFill/>
                    </a:ln>
                  </pic:spPr>
                </pic:pic>
              </a:graphicData>
            </a:graphic>
          </wp:inline>
        </w:drawing>
      </w:r>
    </w:p>
    <w:p w14:paraId="134ADA2F" w14:textId="7D75225B" w:rsidR="00B87521" w:rsidRPr="002017B4" w:rsidRDefault="00BB08FE" w:rsidP="00BB08FE">
      <w:pPr>
        <w:pStyle w:val="Ttulo2"/>
        <w:numPr>
          <w:ilvl w:val="0"/>
          <w:numId w:val="0"/>
        </w:numPr>
        <w:ind w:left="578" w:hanging="578"/>
      </w:pPr>
      <w:r w:rsidRPr="002017B4">
        <w:t>CÂMBIO E SETOR EXTERNO</w:t>
      </w:r>
    </w:p>
    <w:p w14:paraId="64F425ED" w14:textId="39A0EB3B" w:rsidR="00B87521" w:rsidRPr="002017B4" w:rsidRDefault="00B87521" w:rsidP="0005662C">
      <w:pPr>
        <w:rPr>
          <w:rFonts w:cstheme="majorHAnsi"/>
          <w:color w:val="000000"/>
        </w:rPr>
      </w:pPr>
      <w:r w:rsidRPr="002017B4">
        <w:rPr>
          <w:rFonts w:cstheme="majorHAnsi"/>
          <w:color w:val="000000"/>
        </w:rPr>
        <w:t>Durante 2021 o real apresentou grande desvalorização frente ao dólar durante todo o ano. A moeda norte americana, principal moeda utilizada em todo o mundo para realizar transações, permaneceu com cotação diária acima de R$ 5,00 praticamente todos os dias.</w:t>
      </w:r>
      <w:r w:rsidRPr="002017B4">
        <w:rPr>
          <w:rFonts w:cstheme="majorHAnsi"/>
          <w:color w:val="000000"/>
        </w:rPr>
        <w:br/>
      </w:r>
      <w:r w:rsidRPr="002017B4">
        <w:rPr>
          <w:rFonts w:cstheme="majorHAnsi"/>
          <w:color w:val="000000"/>
        </w:rPr>
        <w:br/>
        <w:t>O relatório de Mercado Focus divulgado pelo Banco Central no dia 6 de dezembro, apresentou que a mediana das expectativas são de que o dólar fique em R$ 5,56 no fim de 2021. Além disso, a moeda estrangeira já acumula ganhos de 9,67% frente ao real somente esse ano.</w:t>
      </w:r>
      <w:r w:rsidRPr="002017B4">
        <w:rPr>
          <w:rFonts w:cstheme="majorHAnsi"/>
          <w:color w:val="000000"/>
        </w:rPr>
        <w:br/>
      </w:r>
      <w:r w:rsidRPr="002017B4">
        <w:rPr>
          <w:rFonts w:cstheme="majorHAnsi"/>
          <w:color w:val="000000"/>
        </w:rPr>
        <w:br/>
        <w:t>Essa elevação pode ser explicada pela retirada gradual dos estímulos da economia pelo banco central dos Estados Unidos, o Fed (Federal Reserve), o que provocará uma redução na liquidez dos mercados.</w:t>
      </w:r>
    </w:p>
    <w:p w14:paraId="098A4C15" w14:textId="3EBECF73" w:rsidR="00B87521" w:rsidRPr="002017B4" w:rsidRDefault="00BB08FE" w:rsidP="00BB08FE">
      <w:pPr>
        <w:pStyle w:val="Ttulo2"/>
        <w:numPr>
          <w:ilvl w:val="0"/>
          <w:numId w:val="0"/>
        </w:numPr>
        <w:ind w:left="578" w:hanging="578"/>
      </w:pPr>
      <w:r w:rsidRPr="002017B4">
        <w:t>PERSPECTIVA</w:t>
      </w:r>
    </w:p>
    <w:p w14:paraId="6D6D0C13" w14:textId="19957628" w:rsidR="00B87521" w:rsidRPr="002017B4" w:rsidRDefault="00B87521" w:rsidP="0005662C">
      <w:pPr>
        <w:rPr>
          <w:rFonts w:cstheme="majorHAnsi"/>
          <w:color w:val="000000"/>
        </w:rPr>
      </w:pPr>
      <w:r w:rsidRPr="002017B4">
        <w:rPr>
          <w:rFonts w:cstheme="majorHAnsi"/>
          <w:color w:val="000000"/>
        </w:rPr>
        <w:t>Quanto as expectativas com relação ao Brasil, passa por um processo de imunização mais eficiente. Teremos que acompanhar as decisões do Bancos Centrais em relação a política monetária, que indica seguir com medidas contracionistas, tendo em vista o plano de vacinação em prática, a aceleração da inflação e os estímulos que seguem sendo despejados na economia.</w:t>
      </w:r>
      <w:r w:rsidRPr="002017B4">
        <w:rPr>
          <w:rFonts w:cstheme="majorHAnsi"/>
          <w:color w:val="000000"/>
        </w:rPr>
        <w:br/>
      </w:r>
      <w:r w:rsidRPr="002017B4">
        <w:rPr>
          <w:rFonts w:cstheme="majorHAnsi"/>
          <w:color w:val="000000"/>
        </w:rPr>
        <w:br/>
        <w:t>Os dados indicam uma pressão persistente nos preços ao consumidor amplo e isto pode levar o Banco Central a intensificar as discussões sobre o ritmo das reformas.</w:t>
      </w:r>
      <w:r w:rsidRPr="002017B4">
        <w:rPr>
          <w:rFonts w:cstheme="majorHAnsi"/>
          <w:color w:val="000000"/>
        </w:rPr>
        <w:br/>
      </w:r>
      <w:r w:rsidRPr="002017B4">
        <w:rPr>
          <w:rFonts w:cstheme="majorHAnsi"/>
          <w:color w:val="000000"/>
        </w:rPr>
        <w:br/>
        <w:t>Podendo se esperar mais mudanças na taxa de juros no futuro próximo, como já é adiantado no relatório semanal do Banco central.</w:t>
      </w:r>
      <w:r w:rsidRPr="002017B4">
        <w:rPr>
          <w:rFonts w:cstheme="majorHAnsi"/>
          <w:color w:val="000000"/>
        </w:rPr>
        <w:br/>
      </w:r>
      <w:r w:rsidRPr="002017B4">
        <w:rPr>
          <w:rFonts w:cstheme="majorHAnsi"/>
          <w:color w:val="000000"/>
        </w:rPr>
        <w:br/>
        <w:t>A partir disso, teremos que avaliar o andamento de reformas e em qual intensidade será elaborada.</w:t>
      </w:r>
      <w:r w:rsidRPr="002017B4">
        <w:rPr>
          <w:rFonts w:cstheme="majorHAnsi"/>
          <w:color w:val="000000"/>
        </w:rPr>
        <w:br/>
      </w:r>
      <w:r w:rsidRPr="002017B4">
        <w:rPr>
          <w:rFonts w:cstheme="majorHAnsi"/>
          <w:color w:val="000000"/>
        </w:rPr>
        <w:br/>
      </w:r>
      <w:r w:rsidRPr="002017B4">
        <w:rPr>
          <w:rFonts w:cstheme="majorHAnsi"/>
          <w:color w:val="000000"/>
        </w:rPr>
        <w:lastRenderedPageBreak/>
        <w:t>A preocupação com o quadro fiscal, o grave endividamento e teto de gastos, segue sendo o principal foco, devido as recentes manobras do governo para amplia-lo.</w:t>
      </w:r>
    </w:p>
    <w:p w14:paraId="15E29CAC" w14:textId="1D2857F4" w:rsidR="00B87521" w:rsidRPr="002017B4" w:rsidRDefault="00B87521" w:rsidP="0005662C">
      <w:pPr>
        <w:rPr>
          <w:rFonts w:cstheme="majorHAnsi"/>
        </w:rPr>
      </w:pPr>
      <w:r w:rsidRPr="002017B4">
        <w:rPr>
          <w:rFonts w:cstheme="majorHAnsi"/>
          <w:color w:val="000000"/>
        </w:rPr>
        <w:t>Caso o desajuste fiscal aconteça, além de gerar desconfiança dos investidores estrangeiros, geraria um aumento inesperado e brusco na taxa de juros, por esse motivo, e do risco Brasil, fato que seria prejudicial para a o momento atual da economia.</w:t>
      </w:r>
      <w:r w:rsidRPr="002017B4">
        <w:rPr>
          <w:rFonts w:cstheme="majorHAnsi"/>
          <w:color w:val="000000"/>
        </w:rPr>
        <w:br/>
      </w:r>
      <w:r w:rsidRPr="002017B4">
        <w:rPr>
          <w:rFonts w:cstheme="majorHAnsi"/>
          <w:color w:val="000000"/>
        </w:rPr>
        <w:br/>
        <w:t>Situação que o Brasil vem tentando evitar ao longo dos últimos anos, reconquistar os investidores estrangeiros, a partir de um quadro fiscal mais bem elaborado, uma agenda de reformas estruturais, que ocasionalmente levaria o Brasil a um controle maior sobre as receitas e gastos governamentais.</w:t>
      </w:r>
      <w:r w:rsidRPr="002017B4">
        <w:rPr>
          <w:rFonts w:cstheme="majorHAnsi"/>
          <w:color w:val="000000"/>
        </w:rPr>
        <w:br/>
      </w:r>
      <w:r w:rsidRPr="002017B4">
        <w:rPr>
          <w:rFonts w:cstheme="majorHAnsi"/>
          <w:color w:val="000000"/>
        </w:rPr>
        <w:br/>
        <w:t>Apesar de todas as oscilações de mercado, as expectativas seguem sendo o plano de vacinação contra a Covid-19 e toda a pauta de reforma que segue sem definição pelo governo.</w:t>
      </w:r>
      <w:r w:rsidRPr="002017B4">
        <w:rPr>
          <w:rFonts w:cstheme="majorHAnsi"/>
          <w:color w:val="000000"/>
        </w:rPr>
        <w:br/>
      </w:r>
      <w:r w:rsidRPr="002017B4">
        <w:rPr>
          <w:rFonts w:cstheme="majorHAnsi"/>
          <w:color w:val="000000"/>
        </w:rPr>
        <w:br/>
        <w:t>O mais recomendado para o atual momento é a cautela ao assumir posições mais arriscadas no curto prazo, a volatilidade nos mercados deve se manter sem ainda a desenhar um horizonte claro, em razão principalmente pelo nosso cenário político.</w:t>
      </w:r>
      <w:r w:rsidRPr="002017B4">
        <w:rPr>
          <w:rFonts w:cstheme="majorHAnsi"/>
          <w:color w:val="000000"/>
        </w:rPr>
        <w:br/>
      </w:r>
      <w:r w:rsidRPr="002017B4">
        <w:rPr>
          <w:rFonts w:cstheme="majorHAnsi"/>
          <w:color w:val="000000"/>
        </w:rPr>
        <w:br/>
      </w:r>
    </w:p>
    <w:p w14:paraId="2C7897C3" w14:textId="741BBA63" w:rsidR="00587C03" w:rsidRDefault="00587C03" w:rsidP="00BB08FE">
      <w:pPr>
        <w:pStyle w:val="Ttulo2"/>
      </w:pPr>
      <w:bookmarkStart w:id="26" w:name="_Toc90997478"/>
      <w:r>
        <w:t>EXPECTATIVAS DE MERCADO</w:t>
      </w:r>
      <w:bookmarkEnd w:id="26"/>
    </w:p>
    <w:p w14:paraId="3E40099E" w14:textId="77777777" w:rsidR="00BB08FE" w:rsidRPr="00BB08FE" w:rsidRDefault="00BB08FE" w:rsidP="00BB08FE"/>
    <w:tbl>
      <w:tblPr>
        <w:tblW w:w="0" w:type="auto"/>
        <w:jc w:val="center"/>
        <w:tblLayout w:type="fixed"/>
        <w:tblCellMar>
          <w:left w:w="70" w:type="dxa"/>
          <w:right w:w="70" w:type="dxa"/>
        </w:tblCellMar>
        <w:tblLook w:val="04A0" w:firstRow="1" w:lastRow="0" w:firstColumn="1" w:lastColumn="0" w:noHBand="0" w:noVBand="1"/>
      </w:tblPr>
      <w:tblGrid>
        <w:gridCol w:w="2977"/>
        <w:gridCol w:w="1134"/>
        <w:gridCol w:w="1276"/>
      </w:tblGrid>
      <w:tr w:rsidR="008847BC" w:rsidRPr="00A22044" w14:paraId="7BEEC4F4" w14:textId="77777777" w:rsidTr="00FF3ABB">
        <w:trPr>
          <w:trHeight w:val="315"/>
          <w:jc w:val="center"/>
        </w:trPr>
        <w:tc>
          <w:tcPr>
            <w:tcW w:w="2977" w:type="dxa"/>
            <w:tcBorders>
              <w:top w:val="single" w:sz="4" w:space="0" w:color="A5A5A5"/>
              <w:left w:val="nil"/>
              <w:bottom w:val="single" w:sz="4" w:space="0" w:color="A5A5A5"/>
              <w:right w:val="nil"/>
            </w:tcBorders>
            <w:shd w:val="clear" w:color="auto" w:fill="auto"/>
            <w:noWrap/>
            <w:vAlign w:val="center"/>
            <w:hideMark/>
          </w:tcPr>
          <w:p w14:paraId="55981181" w14:textId="77777777" w:rsidR="008847BC" w:rsidRPr="00A22044" w:rsidRDefault="008847BC" w:rsidP="00FF3ABB">
            <w:pPr>
              <w:spacing w:after="0" w:line="240" w:lineRule="auto"/>
              <w:jc w:val="center"/>
              <w:rPr>
                <w:rFonts w:ascii="Calibri" w:eastAsia="Times New Roman" w:hAnsi="Calibri" w:cs="Times New Roman"/>
                <w:b/>
                <w:bCs/>
                <w:color w:val="auto"/>
                <w:sz w:val="14"/>
                <w:szCs w:val="24"/>
                <w:lang w:eastAsia="pt-BR"/>
              </w:rPr>
            </w:pPr>
            <w:r w:rsidRPr="00A22044">
              <w:rPr>
                <w:rFonts w:ascii="Calibri" w:eastAsia="Times New Roman" w:hAnsi="Calibri" w:cs="Times New Roman"/>
                <w:b/>
                <w:bCs/>
                <w:color w:val="auto"/>
                <w:sz w:val="14"/>
                <w:szCs w:val="24"/>
                <w:lang w:eastAsia="pt-BR"/>
              </w:rPr>
              <w:t>Índices (Mediana Agregado)</w:t>
            </w:r>
          </w:p>
        </w:tc>
        <w:tc>
          <w:tcPr>
            <w:tcW w:w="1134" w:type="dxa"/>
            <w:tcBorders>
              <w:top w:val="single" w:sz="4" w:space="0" w:color="A5A5A5"/>
              <w:left w:val="nil"/>
              <w:bottom w:val="single" w:sz="4" w:space="0" w:color="A5A5A5"/>
              <w:right w:val="nil"/>
            </w:tcBorders>
            <w:shd w:val="clear" w:color="auto" w:fill="auto"/>
            <w:noWrap/>
            <w:vAlign w:val="center"/>
            <w:hideMark/>
          </w:tcPr>
          <w:p w14:paraId="45E46418" w14:textId="77777777" w:rsidR="008847BC" w:rsidRPr="00A22044" w:rsidRDefault="008847BC" w:rsidP="00FF3ABB">
            <w:pPr>
              <w:spacing w:after="0" w:line="240" w:lineRule="auto"/>
              <w:jc w:val="center"/>
              <w:rPr>
                <w:rFonts w:ascii="Calibri" w:eastAsia="Times New Roman" w:hAnsi="Calibri" w:cs="Times New Roman"/>
                <w:b/>
                <w:bCs/>
                <w:color w:val="auto"/>
                <w:sz w:val="14"/>
                <w:szCs w:val="24"/>
                <w:highlight w:val="yellow"/>
                <w:lang w:eastAsia="pt-BR"/>
              </w:rPr>
            </w:pPr>
            <w:r w:rsidRPr="00A22044">
              <w:rPr>
                <w:rFonts w:ascii="Calibri" w:eastAsia="Times New Roman" w:hAnsi="Calibri" w:cs="Times New Roman"/>
                <w:b/>
                <w:bCs/>
                <w:color w:val="auto"/>
                <w:sz w:val="14"/>
                <w:szCs w:val="24"/>
                <w:highlight w:val="yellow"/>
                <w:lang w:eastAsia="pt-BR"/>
              </w:rPr>
              <w:t>2022</w:t>
            </w:r>
          </w:p>
        </w:tc>
        <w:tc>
          <w:tcPr>
            <w:tcW w:w="1276" w:type="dxa"/>
            <w:tcBorders>
              <w:top w:val="single" w:sz="4" w:space="0" w:color="A5A5A5"/>
              <w:left w:val="nil"/>
              <w:bottom w:val="single" w:sz="4" w:space="0" w:color="A5A5A5"/>
              <w:right w:val="nil"/>
            </w:tcBorders>
            <w:shd w:val="clear" w:color="auto" w:fill="auto"/>
            <w:noWrap/>
            <w:vAlign w:val="center"/>
            <w:hideMark/>
          </w:tcPr>
          <w:p w14:paraId="65E0CB93" w14:textId="77777777" w:rsidR="008847BC" w:rsidRPr="00A22044" w:rsidRDefault="008847BC" w:rsidP="00FF3ABB">
            <w:pPr>
              <w:spacing w:after="0" w:line="240" w:lineRule="auto"/>
              <w:jc w:val="center"/>
              <w:rPr>
                <w:rFonts w:ascii="Calibri" w:eastAsia="Times New Roman" w:hAnsi="Calibri" w:cs="Times New Roman"/>
                <w:b/>
                <w:bCs/>
                <w:color w:val="auto"/>
                <w:sz w:val="14"/>
                <w:szCs w:val="24"/>
                <w:lang w:eastAsia="pt-BR"/>
              </w:rPr>
            </w:pPr>
            <w:r w:rsidRPr="00A22044">
              <w:rPr>
                <w:rFonts w:ascii="Calibri" w:eastAsia="Times New Roman" w:hAnsi="Calibri" w:cs="Times New Roman"/>
                <w:b/>
                <w:bCs/>
                <w:color w:val="auto"/>
                <w:sz w:val="14"/>
                <w:szCs w:val="24"/>
                <w:lang w:eastAsia="pt-BR"/>
              </w:rPr>
              <w:t>2023</w:t>
            </w:r>
          </w:p>
        </w:tc>
      </w:tr>
      <w:tr w:rsidR="008847BC" w:rsidRPr="00A22044" w14:paraId="773A4E1F" w14:textId="77777777" w:rsidTr="00FF3ABB">
        <w:trPr>
          <w:trHeight w:val="300"/>
          <w:jc w:val="center"/>
        </w:trPr>
        <w:tc>
          <w:tcPr>
            <w:tcW w:w="2977" w:type="dxa"/>
            <w:tcBorders>
              <w:top w:val="nil"/>
              <w:left w:val="nil"/>
              <w:bottom w:val="nil"/>
              <w:right w:val="nil"/>
            </w:tcBorders>
            <w:shd w:val="clear" w:color="EDEDED" w:fill="EDEDED"/>
            <w:noWrap/>
            <w:vAlign w:val="center"/>
            <w:hideMark/>
          </w:tcPr>
          <w:p w14:paraId="1206BCD4"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IPCA (%)</w:t>
            </w:r>
          </w:p>
        </w:tc>
        <w:tc>
          <w:tcPr>
            <w:tcW w:w="1134" w:type="dxa"/>
            <w:tcBorders>
              <w:top w:val="nil"/>
              <w:left w:val="nil"/>
              <w:bottom w:val="nil"/>
              <w:right w:val="nil"/>
            </w:tcBorders>
            <w:shd w:val="clear" w:color="EDEDED" w:fill="EDEDED"/>
            <w:noWrap/>
            <w:vAlign w:val="center"/>
          </w:tcPr>
          <w:p w14:paraId="2786D1FB"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4,17</w:t>
            </w:r>
          </w:p>
        </w:tc>
        <w:tc>
          <w:tcPr>
            <w:tcW w:w="1276" w:type="dxa"/>
            <w:tcBorders>
              <w:top w:val="nil"/>
              <w:left w:val="nil"/>
              <w:bottom w:val="nil"/>
              <w:right w:val="nil"/>
            </w:tcBorders>
            <w:shd w:val="clear" w:color="EDEDED" w:fill="EDEDED"/>
            <w:noWrap/>
            <w:vAlign w:val="center"/>
          </w:tcPr>
          <w:p w14:paraId="7A32502A"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3,25</w:t>
            </w:r>
          </w:p>
        </w:tc>
      </w:tr>
      <w:tr w:rsidR="008847BC" w:rsidRPr="00A22044" w14:paraId="01426E73" w14:textId="77777777" w:rsidTr="00FF3ABB">
        <w:trPr>
          <w:trHeight w:val="300"/>
          <w:jc w:val="center"/>
        </w:trPr>
        <w:tc>
          <w:tcPr>
            <w:tcW w:w="2977" w:type="dxa"/>
            <w:tcBorders>
              <w:top w:val="nil"/>
              <w:left w:val="nil"/>
              <w:bottom w:val="nil"/>
              <w:right w:val="nil"/>
            </w:tcBorders>
            <w:shd w:val="clear" w:color="auto" w:fill="auto"/>
            <w:noWrap/>
            <w:vAlign w:val="center"/>
            <w:hideMark/>
          </w:tcPr>
          <w:p w14:paraId="12D3E6A3"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INPC (%)</w:t>
            </w:r>
          </w:p>
        </w:tc>
        <w:tc>
          <w:tcPr>
            <w:tcW w:w="1134" w:type="dxa"/>
            <w:tcBorders>
              <w:top w:val="nil"/>
              <w:left w:val="nil"/>
              <w:bottom w:val="nil"/>
              <w:right w:val="nil"/>
            </w:tcBorders>
            <w:shd w:val="clear" w:color="auto" w:fill="auto"/>
            <w:noWrap/>
            <w:vAlign w:val="center"/>
          </w:tcPr>
          <w:p w14:paraId="6643B9EE"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3,50</w:t>
            </w:r>
          </w:p>
        </w:tc>
        <w:tc>
          <w:tcPr>
            <w:tcW w:w="1276" w:type="dxa"/>
            <w:tcBorders>
              <w:top w:val="nil"/>
              <w:left w:val="nil"/>
              <w:bottom w:val="nil"/>
              <w:right w:val="nil"/>
            </w:tcBorders>
            <w:shd w:val="clear" w:color="auto" w:fill="auto"/>
            <w:noWrap/>
            <w:vAlign w:val="center"/>
          </w:tcPr>
          <w:p w14:paraId="4F40BA93"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3,40</w:t>
            </w:r>
          </w:p>
        </w:tc>
      </w:tr>
      <w:tr w:rsidR="008847BC" w:rsidRPr="00A22044" w14:paraId="143A0AA9" w14:textId="77777777" w:rsidTr="00FF3ABB">
        <w:trPr>
          <w:trHeight w:val="300"/>
          <w:jc w:val="center"/>
        </w:trPr>
        <w:tc>
          <w:tcPr>
            <w:tcW w:w="2977" w:type="dxa"/>
            <w:tcBorders>
              <w:top w:val="nil"/>
              <w:left w:val="nil"/>
              <w:bottom w:val="nil"/>
              <w:right w:val="nil"/>
            </w:tcBorders>
            <w:shd w:val="clear" w:color="EDEDED" w:fill="EDEDED"/>
            <w:noWrap/>
            <w:vAlign w:val="center"/>
            <w:hideMark/>
          </w:tcPr>
          <w:p w14:paraId="6C93EB78"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IGP-M (%)</w:t>
            </w:r>
          </w:p>
        </w:tc>
        <w:tc>
          <w:tcPr>
            <w:tcW w:w="1134" w:type="dxa"/>
            <w:tcBorders>
              <w:top w:val="nil"/>
              <w:left w:val="nil"/>
              <w:bottom w:val="nil"/>
              <w:right w:val="nil"/>
            </w:tcBorders>
            <w:shd w:val="clear" w:color="EDEDED" w:fill="EDEDED"/>
            <w:noWrap/>
            <w:vAlign w:val="center"/>
          </w:tcPr>
          <w:p w14:paraId="01BD558E"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5,00</w:t>
            </w:r>
          </w:p>
        </w:tc>
        <w:tc>
          <w:tcPr>
            <w:tcW w:w="1276" w:type="dxa"/>
            <w:tcBorders>
              <w:top w:val="nil"/>
              <w:left w:val="nil"/>
              <w:bottom w:val="nil"/>
              <w:right w:val="nil"/>
            </w:tcBorders>
            <w:shd w:val="clear" w:color="EDEDED" w:fill="EDEDED"/>
            <w:noWrap/>
            <w:vAlign w:val="center"/>
          </w:tcPr>
          <w:p w14:paraId="5787EA72"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4,00</w:t>
            </w:r>
          </w:p>
        </w:tc>
      </w:tr>
      <w:tr w:rsidR="008847BC" w:rsidRPr="00A22044" w14:paraId="0FD4CC1B" w14:textId="77777777" w:rsidTr="00FF3ABB">
        <w:trPr>
          <w:trHeight w:val="300"/>
          <w:jc w:val="center"/>
        </w:trPr>
        <w:tc>
          <w:tcPr>
            <w:tcW w:w="2977" w:type="dxa"/>
            <w:tcBorders>
              <w:top w:val="nil"/>
              <w:left w:val="nil"/>
              <w:bottom w:val="nil"/>
              <w:right w:val="nil"/>
            </w:tcBorders>
            <w:shd w:val="clear" w:color="auto" w:fill="auto"/>
            <w:noWrap/>
            <w:vAlign w:val="center"/>
            <w:hideMark/>
          </w:tcPr>
          <w:p w14:paraId="11B7A773"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Taxa de Câmbio (R$/US$)</w:t>
            </w:r>
          </w:p>
        </w:tc>
        <w:tc>
          <w:tcPr>
            <w:tcW w:w="1134" w:type="dxa"/>
            <w:tcBorders>
              <w:top w:val="nil"/>
              <w:left w:val="nil"/>
              <w:bottom w:val="nil"/>
              <w:right w:val="nil"/>
            </w:tcBorders>
            <w:shd w:val="clear" w:color="auto" w:fill="auto"/>
            <w:noWrap/>
            <w:vAlign w:val="center"/>
          </w:tcPr>
          <w:p w14:paraId="4D9FA724"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5,25</w:t>
            </w:r>
          </w:p>
        </w:tc>
        <w:tc>
          <w:tcPr>
            <w:tcW w:w="1276" w:type="dxa"/>
            <w:tcBorders>
              <w:top w:val="nil"/>
              <w:left w:val="nil"/>
              <w:bottom w:val="nil"/>
              <w:right w:val="nil"/>
            </w:tcBorders>
            <w:shd w:val="clear" w:color="auto" w:fill="auto"/>
            <w:noWrap/>
            <w:vAlign w:val="center"/>
          </w:tcPr>
          <w:p w14:paraId="00DBEB0C"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5,10</w:t>
            </w:r>
          </w:p>
        </w:tc>
      </w:tr>
      <w:tr w:rsidR="008847BC" w:rsidRPr="00A22044" w14:paraId="2EB0D12F" w14:textId="77777777" w:rsidTr="00FF3ABB">
        <w:trPr>
          <w:trHeight w:val="300"/>
          <w:jc w:val="center"/>
        </w:trPr>
        <w:tc>
          <w:tcPr>
            <w:tcW w:w="2977" w:type="dxa"/>
            <w:tcBorders>
              <w:top w:val="nil"/>
              <w:left w:val="nil"/>
              <w:bottom w:val="nil"/>
              <w:right w:val="nil"/>
            </w:tcBorders>
            <w:shd w:val="clear" w:color="EDEDED" w:fill="EDEDED"/>
            <w:noWrap/>
            <w:vAlign w:val="center"/>
            <w:hideMark/>
          </w:tcPr>
          <w:p w14:paraId="71A6E9BE"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Meta Taxa Selic (%a.a.)</w:t>
            </w:r>
          </w:p>
        </w:tc>
        <w:tc>
          <w:tcPr>
            <w:tcW w:w="1134" w:type="dxa"/>
            <w:tcBorders>
              <w:top w:val="nil"/>
              <w:left w:val="nil"/>
              <w:bottom w:val="nil"/>
              <w:right w:val="nil"/>
            </w:tcBorders>
            <w:shd w:val="clear" w:color="EDEDED" w:fill="EDEDED"/>
            <w:noWrap/>
            <w:vAlign w:val="center"/>
          </w:tcPr>
          <w:p w14:paraId="2B6223BC"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8,75</w:t>
            </w:r>
          </w:p>
        </w:tc>
        <w:tc>
          <w:tcPr>
            <w:tcW w:w="1276" w:type="dxa"/>
            <w:tcBorders>
              <w:top w:val="nil"/>
              <w:left w:val="nil"/>
              <w:bottom w:val="nil"/>
              <w:right w:val="nil"/>
            </w:tcBorders>
            <w:shd w:val="clear" w:color="EDEDED" w:fill="EDEDED"/>
            <w:noWrap/>
            <w:vAlign w:val="center"/>
          </w:tcPr>
          <w:p w14:paraId="6F01AF59"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6,50</w:t>
            </w:r>
          </w:p>
        </w:tc>
      </w:tr>
      <w:tr w:rsidR="008847BC" w:rsidRPr="00A22044" w14:paraId="56C04C07" w14:textId="77777777" w:rsidTr="00FF3ABB">
        <w:trPr>
          <w:trHeight w:val="300"/>
          <w:jc w:val="center"/>
        </w:trPr>
        <w:tc>
          <w:tcPr>
            <w:tcW w:w="2977" w:type="dxa"/>
            <w:tcBorders>
              <w:top w:val="nil"/>
              <w:left w:val="nil"/>
              <w:bottom w:val="nil"/>
              <w:right w:val="nil"/>
            </w:tcBorders>
            <w:shd w:val="clear" w:color="auto" w:fill="auto"/>
            <w:noWrap/>
            <w:vAlign w:val="center"/>
            <w:hideMark/>
          </w:tcPr>
          <w:p w14:paraId="5055C89F"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Investimentos Direto no País (US$ bilhões)</w:t>
            </w:r>
          </w:p>
        </w:tc>
        <w:tc>
          <w:tcPr>
            <w:tcW w:w="1134" w:type="dxa"/>
            <w:tcBorders>
              <w:top w:val="nil"/>
              <w:left w:val="nil"/>
              <w:bottom w:val="nil"/>
              <w:right w:val="nil"/>
            </w:tcBorders>
            <w:shd w:val="clear" w:color="auto" w:fill="auto"/>
            <w:noWrap/>
            <w:vAlign w:val="center"/>
          </w:tcPr>
          <w:p w14:paraId="05FE5FB8"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60,50</w:t>
            </w:r>
          </w:p>
        </w:tc>
        <w:tc>
          <w:tcPr>
            <w:tcW w:w="1276" w:type="dxa"/>
            <w:tcBorders>
              <w:top w:val="nil"/>
              <w:left w:val="nil"/>
              <w:bottom w:val="nil"/>
              <w:right w:val="nil"/>
            </w:tcBorders>
            <w:shd w:val="clear" w:color="auto" w:fill="auto"/>
            <w:noWrap/>
            <w:vAlign w:val="center"/>
          </w:tcPr>
          <w:p w14:paraId="0AAAD529"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69,50</w:t>
            </w:r>
          </w:p>
        </w:tc>
      </w:tr>
      <w:tr w:rsidR="008847BC" w:rsidRPr="00A22044" w14:paraId="0029D924" w14:textId="77777777" w:rsidTr="00FF3ABB">
        <w:trPr>
          <w:trHeight w:val="300"/>
          <w:jc w:val="center"/>
        </w:trPr>
        <w:tc>
          <w:tcPr>
            <w:tcW w:w="2977" w:type="dxa"/>
            <w:tcBorders>
              <w:top w:val="nil"/>
              <w:left w:val="nil"/>
              <w:bottom w:val="nil"/>
              <w:right w:val="nil"/>
            </w:tcBorders>
            <w:shd w:val="clear" w:color="EDEDED" w:fill="EDEDED"/>
            <w:noWrap/>
            <w:vAlign w:val="center"/>
            <w:hideMark/>
          </w:tcPr>
          <w:p w14:paraId="2A3182FC"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Dívida Líquida do Setor Público (% do PIB)</w:t>
            </w:r>
          </w:p>
        </w:tc>
        <w:tc>
          <w:tcPr>
            <w:tcW w:w="1134" w:type="dxa"/>
            <w:tcBorders>
              <w:top w:val="nil"/>
              <w:left w:val="nil"/>
              <w:bottom w:val="nil"/>
              <w:right w:val="nil"/>
            </w:tcBorders>
            <w:shd w:val="clear" w:color="EDEDED" w:fill="EDEDED"/>
            <w:noWrap/>
            <w:vAlign w:val="center"/>
          </w:tcPr>
          <w:p w14:paraId="487ABA3D"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62,80</w:t>
            </w:r>
          </w:p>
        </w:tc>
        <w:tc>
          <w:tcPr>
            <w:tcW w:w="1276" w:type="dxa"/>
            <w:tcBorders>
              <w:top w:val="nil"/>
              <w:left w:val="nil"/>
              <w:bottom w:val="nil"/>
              <w:right w:val="nil"/>
            </w:tcBorders>
            <w:shd w:val="clear" w:color="EDEDED" w:fill="EDEDED"/>
            <w:noWrap/>
            <w:vAlign w:val="center"/>
          </w:tcPr>
          <w:p w14:paraId="274794F2"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64,40</w:t>
            </w:r>
          </w:p>
        </w:tc>
      </w:tr>
      <w:tr w:rsidR="008847BC" w:rsidRPr="00A22044" w14:paraId="54E16C00" w14:textId="77777777" w:rsidTr="00FF3ABB">
        <w:trPr>
          <w:trHeight w:val="300"/>
          <w:jc w:val="center"/>
        </w:trPr>
        <w:tc>
          <w:tcPr>
            <w:tcW w:w="2977" w:type="dxa"/>
            <w:tcBorders>
              <w:top w:val="nil"/>
              <w:left w:val="nil"/>
              <w:bottom w:val="nil"/>
              <w:right w:val="nil"/>
            </w:tcBorders>
            <w:shd w:val="clear" w:color="auto" w:fill="auto"/>
            <w:noWrap/>
            <w:vAlign w:val="center"/>
            <w:hideMark/>
          </w:tcPr>
          <w:p w14:paraId="607BE9A8"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PIB (% do crescimento)</w:t>
            </w:r>
          </w:p>
        </w:tc>
        <w:tc>
          <w:tcPr>
            <w:tcW w:w="1134" w:type="dxa"/>
            <w:tcBorders>
              <w:top w:val="nil"/>
              <w:left w:val="nil"/>
              <w:bottom w:val="nil"/>
              <w:right w:val="nil"/>
            </w:tcBorders>
            <w:shd w:val="clear" w:color="auto" w:fill="auto"/>
            <w:noWrap/>
            <w:vAlign w:val="center"/>
          </w:tcPr>
          <w:p w14:paraId="0CBFB8FD"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1,54</w:t>
            </w:r>
          </w:p>
        </w:tc>
        <w:tc>
          <w:tcPr>
            <w:tcW w:w="1276" w:type="dxa"/>
            <w:tcBorders>
              <w:top w:val="nil"/>
              <w:left w:val="nil"/>
              <w:bottom w:val="nil"/>
              <w:right w:val="nil"/>
            </w:tcBorders>
            <w:shd w:val="clear" w:color="auto" w:fill="auto"/>
            <w:noWrap/>
            <w:vAlign w:val="center"/>
          </w:tcPr>
          <w:p w14:paraId="32287370"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2,20</w:t>
            </w:r>
          </w:p>
        </w:tc>
      </w:tr>
      <w:tr w:rsidR="008847BC" w:rsidRPr="00A22044" w14:paraId="14EC8A2B" w14:textId="77777777" w:rsidTr="00FF3ABB">
        <w:trPr>
          <w:trHeight w:val="300"/>
          <w:jc w:val="center"/>
        </w:trPr>
        <w:tc>
          <w:tcPr>
            <w:tcW w:w="2977" w:type="dxa"/>
            <w:tcBorders>
              <w:top w:val="nil"/>
              <w:left w:val="nil"/>
              <w:bottom w:val="single" w:sz="4" w:space="0" w:color="A5A5A5"/>
              <w:right w:val="nil"/>
            </w:tcBorders>
            <w:shd w:val="clear" w:color="auto" w:fill="auto"/>
            <w:noWrap/>
            <w:vAlign w:val="center"/>
            <w:hideMark/>
          </w:tcPr>
          <w:p w14:paraId="66F90D72" w14:textId="77777777" w:rsidR="008847BC" w:rsidRPr="00A22044" w:rsidRDefault="008847BC" w:rsidP="00FF3ABB">
            <w:pPr>
              <w:spacing w:after="0" w:line="240" w:lineRule="auto"/>
              <w:jc w:val="left"/>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Balança comercial (US$ Bilhões)</w:t>
            </w:r>
          </w:p>
        </w:tc>
        <w:tc>
          <w:tcPr>
            <w:tcW w:w="1134" w:type="dxa"/>
            <w:tcBorders>
              <w:top w:val="nil"/>
              <w:left w:val="nil"/>
              <w:bottom w:val="single" w:sz="4" w:space="0" w:color="A5A5A5"/>
              <w:right w:val="nil"/>
            </w:tcBorders>
            <w:shd w:val="clear" w:color="auto" w:fill="auto"/>
            <w:noWrap/>
            <w:vAlign w:val="center"/>
          </w:tcPr>
          <w:p w14:paraId="7B85B942" w14:textId="77777777" w:rsidR="008847BC" w:rsidRPr="00A22044" w:rsidRDefault="008847BC" w:rsidP="00FF3ABB">
            <w:pPr>
              <w:spacing w:after="0" w:line="240" w:lineRule="auto"/>
              <w:jc w:val="center"/>
              <w:rPr>
                <w:rFonts w:ascii="Calibri" w:eastAsia="Times New Roman" w:hAnsi="Calibri" w:cs="Times New Roman"/>
                <w:color w:val="auto"/>
                <w:sz w:val="14"/>
                <w:highlight w:val="yellow"/>
                <w:lang w:eastAsia="pt-BR"/>
              </w:rPr>
            </w:pPr>
            <w:r w:rsidRPr="00A22044">
              <w:rPr>
                <w:rFonts w:ascii="Calibri" w:eastAsia="Times New Roman" w:hAnsi="Calibri" w:cs="Times New Roman"/>
                <w:color w:val="auto"/>
                <w:sz w:val="14"/>
                <w:highlight w:val="yellow"/>
                <w:lang w:eastAsia="pt-BR"/>
              </w:rPr>
              <w:t>63,00</w:t>
            </w:r>
          </w:p>
        </w:tc>
        <w:tc>
          <w:tcPr>
            <w:tcW w:w="1276" w:type="dxa"/>
            <w:tcBorders>
              <w:top w:val="nil"/>
              <w:left w:val="nil"/>
              <w:bottom w:val="single" w:sz="4" w:space="0" w:color="A5A5A5"/>
              <w:right w:val="nil"/>
            </w:tcBorders>
            <w:shd w:val="clear" w:color="auto" w:fill="auto"/>
            <w:noWrap/>
            <w:vAlign w:val="center"/>
          </w:tcPr>
          <w:p w14:paraId="542119ED" w14:textId="77777777" w:rsidR="008847BC" w:rsidRPr="00A22044" w:rsidRDefault="008847BC" w:rsidP="00FF3ABB">
            <w:pPr>
              <w:spacing w:after="0" w:line="240" w:lineRule="auto"/>
              <w:jc w:val="center"/>
              <w:rPr>
                <w:rFonts w:ascii="Calibri" w:eastAsia="Times New Roman" w:hAnsi="Calibri" w:cs="Times New Roman"/>
                <w:color w:val="auto"/>
                <w:sz w:val="14"/>
                <w:lang w:eastAsia="pt-BR"/>
              </w:rPr>
            </w:pPr>
            <w:r w:rsidRPr="00A22044">
              <w:rPr>
                <w:rFonts w:ascii="Calibri" w:eastAsia="Times New Roman" w:hAnsi="Calibri" w:cs="Times New Roman"/>
                <w:color w:val="auto"/>
                <w:sz w:val="14"/>
                <w:lang w:eastAsia="pt-BR"/>
              </w:rPr>
              <w:t>57,00</w:t>
            </w:r>
          </w:p>
        </w:tc>
      </w:tr>
    </w:tbl>
    <w:p w14:paraId="40099E42" w14:textId="2F54FD66" w:rsidR="007B0AD6" w:rsidRPr="00A22044" w:rsidRDefault="003C0A56" w:rsidP="003C0A56">
      <w:pPr>
        <w:ind w:left="708" w:firstLine="708"/>
        <w:rPr>
          <w:color w:val="auto"/>
        </w:rPr>
      </w:pPr>
      <w:r w:rsidRPr="00A22044">
        <w:rPr>
          <w:color w:val="auto"/>
          <w:sz w:val="12"/>
        </w:rPr>
        <w:t xml:space="preserve">                </w:t>
      </w:r>
      <w:r w:rsidR="008847BC" w:rsidRPr="00A22044">
        <w:rPr>
          <w:color w:val="auto"/>
          <w:sz w:val="12"/>
          <w:highlight w:val="yellow"/>
        </w:rPr>
        <w:t>https://www.bcb.gov.br/content/focus/focus/R20211008.pdf</w:t>
      </w:r>
    </w:p>
    <w:p w14:paraId="13DADD0F" w14:textId="6ECA4B02" w:rsidR="009E1812" w:rsidRPr="00A22044" w:rsidRDefault="005142C2" w:rsidP="00D66461">
      <w:pPr>
        <w:jc w:val="left"/>
        <w:rPr>
          <w:b/>
          <w:color w:val="auto"/>
        </w:rPr>
      </w:pPr>
      <w:r w:rsidRPr="00A22044">
        <w:rPr>
          <w:color w:val="auto"/>
        </w:rPr>
        <w:br w:type="page"/>
      </w:r>
      <w:bookmarkStart w:id="27" w:name="_Toc90997479"/>
      <w:r w:rsidR="009E1812" w:rsidRPr="00A22044">
        <w:rPr>
          <w:b/>
          <w:color w:val="auto"/>
        </w:rPr>
        <w:lastRenderedPageBreak/>
        <w:t>ALOCAÇÃO ESTRATÉGICA DOS RECURSOS</w:t>
      </w:r>
      <w:bookmarkEnd w:id="27"/>
    </w:p>
    <w:p w14:paraId="4E5F3A47" w14:textId="2F05424C" w:rsidR="009E1812" w:rsidRPr="00A22044" w:rsidRDefault="009E1812" w:rsidP="00B62B8E">
      <w:pPr>
        <w:rPr>
          <w:bCs/>
          <w:color w:val="auto"/>
          <w:szCs w:val="20"/>
        </w:rPr>
      </w:pPr>
      <w:r w:rsidRPr="00A22044">
        <w:rPr>
          <w:bCs/>
          <w:color w:val="auto"/>
          <w:szCs w:val="20"/>
        </w:rPr>
        <w:t xml:space="preserve">Na aplicação dos recursos, os responsáveis pela gestão </w:t>
      </w:r>
      <w:r w:rsidR="00D669BE" w:rsidRPr="00A22044">
        <w:rPr>
          <w:bCs/>
          <w:color w:val="auto"/>
          <w:szCs w:val="20"/>
        </w:rPr>
        <w:t xml:space="preserve">das aplicações dos recursos </w:t>
      </w:r>
      <w:r w:rsidRPr="00A22044">
        <w:rPr>
          <w:bCs/>
          <w:color w:val="auto"/>
          <w:szCs w:val="20"/>
        </w:rPr>
        <w:t xml:space="preserve">do </w:t>
      </w:r>
      <w:r w:rsidR="0005662C" w:rsidRPr="00A22044">
        <w:rPr>
          <w:bCs/>
          <w:color w:val="auto"/>
          <w:szCs w:val="20"/>
        </w:rPr>
        <w:t>Instituto de Previdência dos Servidores Públicos do Município de Pitangueiras – PITANPREV</w:t>
      </w:r>
      <w:r w:rsidRPr="00A22044">
        <w:rPr>
          <w:bCs/>
          <w:color w:val="auto"/>
          <w:szCs w:val="20"/>
        </w:rPr>
        <w:t xml:space="preserve"> devem observar os limites </w:t>
      </w:r>
      <w:r w:rsidR="00503251" w:rsidRPr="00A22044">
        <w:rPr>
          <w:bCs/>
          <w:color w:val="auto"/>
          <w:szCs w:val="20"/>
        </w:rPr>
        <w:t xml:space="preserve">e critérios </w:t>
      </w:r>
      <w:r w:rsidRPr="00A22044">
        <w:rPr>
          <w:bCs/>
          <w:color w:val="auto"/>
          <w:szCs w:val="20"/>
        </w:rPr>
        <w:t xml:space="preserve">estabelecidos </w:t>
      </w:r>
      <w:r w:rsidR="00445B14" w:rsidRPr="00A22044">
        <w:rPr>
          <w:bCs/>
          <w:color w:val="auto"/>
          <w:szCs w:val="20"/>
        </w:rPr>
        <w:t>nesta</w:t>
      </w:r>
      <w:r w:rsidRPr="00A22044">
        <w:rPr>
          <w:bCs/>
          <w:color w:val="auto"/>
          <w:szCs w:val="20"/>
        </w:rPr>
        <w:t xml:space="preserve"> Política de Investimentos</w:t>
      </w:r>
      <w:r w:rsidR="00445B14" w:rsidRPr="00A22044">
        <w:rPr>
          <w:bCs/>
          <w:color w:val="auto"/>
          <w:szCs w:val="20"/>
        </w:rPr>
        <w:t>, na</w:t>
      </w:r>
      <w:r w:rsidRPr="00A22044">
        <w:rPr>
          <w:bCs/>
          <w:color w:val="auto"/>
          <w:szCs w:val="20"/>
        </w:rPr>
        <w:t xml:space="preserve"> Resolução CMN nº </w:t>
      </w:r>
      <w:r w:rsidR="00503251" w:rsidRPr="00A22044">
        <w:rPr>
          <w:bCs/>
          <w:color w:val="auto"/>
          <w:szCs w:val="20"/>
        </w:rPr>
        <w:t>4.963/2021</w:t>
      </w:r>
      <w:r w:rsidR="00445B14" w:rsidRPr="00A22044">
        <w:rPr>
          <w:bCs/>
          <w:color w:val="auto"/>
          <w:szCs w:val="20"/>
        </w:rPr>
        <w:t xml:space="preserve"> e qualquer outro ato normativo </w:t>
      </w:r>
      <w:r w:rsidR="003A43B5" w:rsidRPr="00A22044">
        <w:rPr>
          <w:bCs/>
          <w:color w:val="auto"/>
          <w:szCs w:val="20"/>
        </w:rPr>
        <w:t xml:space="preserve">relacionado ao tema, </w:t>
      </w:r>
      <w:r w:rsidR="00445B14" w:rsidRPr="00A22044">
        <w:rPr>
          <w:bCs/>
          <w:color w:val="auto"/>
          <w:szCs w:val="20"/>
        </w:rPr>
        <w:t xml:space="preserve">emitido pelos órgãos </w:t>
      </w:r>
      <w:r w:rsidR="00671132" w:rsidRPr="00A22044">
        <w:rPr>
          <w:bCs/>
          <w:color w:val="auto"/>
          <w:szCs w:val="20"/>
        </w:rPr>
        <w:t>fiscalizadores e normatizadores</w:t>
      </w:r>
      <w:r w:rsidRPr="00A22044">
        <w:rPr>
          <w:bCs/>
          <w:color w:val="auto"/>
          <w:szCs w:val="20"/>
        </w:rPr>
        <w:t>.</w:t>
      </w:r>
    </w:p>
    <w:p w14:paraId="5F093BB6" w14:textId="48677589" w:rsidR="001E52A8" w:rsidRPr="00A22044" w:rsidRDefault="009E1812" w:rsidP="00B62B8E">
      <w:pPr>
        <w:rPr>
          <w:bCs/>
          <w:color w:val="auto"/>
          <w:szCs w:val="20"/>
        </w:rPr>
      </w:pPr>
      <w:r w:rsidRPr="00A22044">
        <w:rPr>
          <w:bCs/>
          <w:color w:val="auto"/>
          <w:szCs w:val="20"/>
        </w:rPr>
        <w:t xml:space="preserve">A estratégia de alocação </w:t>
      </w:r>
      <w:r w:rsidR="00FD1916" w:rsidRPr="00A22044">
        <w:rPr>
          <w:bCs/>
          <w:color w:val="auto"/>
          <w:szCs w:val="20"/>
        </w:rPr>
        <w:t xml:space="preserve">dos recursos </w:t>
      </w:r>
      <w:r w:rsidRPr="00A22044">
        <w:rPr>
          <w:bCs/>
          <w:color w:val="auto"/>
          <w:szCs w:val="20"/>
        </w:rPr>
        <w:t>para os próximos cinco anos, leva em consideração não somente o cenário macroeconômico como também as especificidades da estratégia definida pelo resultado da análise do fluxo de caixa atuarial e as projeções futuras de déficit e/ou superávit.</w:t>
      </w:r>
    </w:p>
    <w:p w14:paraId="2E6CD0F0" w14:textId="31762AF3" w:rsidR="007E2210" w:rsidRPr="00A22044" w:rsidRDefault="009E1812" w:rsidP="00A73A02">
      <w:pPr>
        <w:spacing w:beforeLines="120" w:before="288" w:after="0" w:line="240" w:lineRule="auto"/>
        <w:jc w:val="center"/>
        <w:rPr>
          <w:b/>
          <w:bCs/>
          <w:color w:val="auto"/>
          <w:szCs w:val="20"/>
        </w:rPr>
      </w:pPr>
      <w:r w:rsidRPr="00A22044">
        <w:rPr>
          <w:b/>
          <w:bCs/>
          <w:color w:val="auto"/>
          <w:szCs w:val="20"/>
        </w:rPr>
        <w:t>Alocação Estratégica para o exercício de 202</w:t>
      </w:r>
      <w:r w:rsidR="007A1214" w:rsidRPr="00A22044">
        <w:rPr>
          <w:b/>
          <w:bCs/>
          <w:color w:val="auto"/>
          <w:szCs w:val="20"/>
        </w:rPr>
        <w:t>2</w:t>
      </w:r>
    </w:p>
    <w:tbl>
      <w:tblPr>
        <w:tblW w:w="5322" w:type="pct"/>
        <w:tblCellMar>
          <w:left w:w="70" w:type="dxa"/>
          <w:right w:w="70" w:type="dxa"/>
        </w:tblCellMar>
        <w:tblLook w:val="04A0" w:firstRow="1" w:lastRow="0" w:firstColumn="1" w:lastColumn="0" w:noHBand="0" w:noVBand="1"/>
      </w:tblPr>
      <w:tblGrid>
        <w:gridCol w:w="1378"/>
        <w:gridCol w:w="4201"/>
        <w:gridCol w:w="818"/>
        <w:gridCol w:w="639"/>
        <w:gridCol w:w="804"/>
        <w:gridCol w:w="707"/>
        <w:gridCol w:w="639"/>
        <w:gridCol w:w="707"/>
      </w:tblGrid>
      <w:tr w:rsidR="007E2210" w:rsidRPr="007E2210" w14:paraId="1C000211" w14:textId="77777777" w:rsidTr="007E2210">
        <w:trPr>
          <w:trHeight w:val="969"/>
        </w:trPr>
        <w:tc>
          <w:tcPr>
            <w:tcW w:w="696" w:type="pct"/>
            <w:tcBorders>
              <w:top w:val="nil"/>
              <w:left w:val="nil"/>
              <w:bottom w:val="nil"/>
              <w:right w:val="nil"/>
            </w:tcBorders>
            <w:shd w:val="clear" w:color="auto" w:fill="auto"/>
            <w:noWrap/>
            <w:vAlign w:val="bottom"/>
            <w:hideMark/>
          </w:tcPr>
          <w:p w14:paraId="58A6F6FD"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p>
        </w:tc>
        <w:tc>
          <w:tcPr>
            <w:tcW w:w="2123" w:type="pct"/>
            <w:tcBorders>
              <w:top w:val="nil"/>
              <w:left w:val="nil"/>
              <w:bottom w:val="nil"/>
              <w:right w:val="nil"/>
            </w:tcBorders>
            <w:shd w:val="clear" w:color="auto" w:fill="auto"/>
            <w:noWrap/>
            <w:vAlign w:val="bottom"/>
            <w:hideMark/>
          </w:tcPr>
          <w:p w14:paraId="185E3AB4"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p>
        </w:tc>
        <w:tc>
          <w:tcPr>
            <w:tcW w:w="414" w:type="pct"/>
            <w:tcBorders>
              <w:top w:val="nil"/>
              <w:left w:val="nil"/>
              <w:bottom w:val="nil"/>
              <w:right w:val="nil"/>
            </w:tcBorders>
            <w:shd w:val="clear" w:color="auto" w:fill="auto"/>
            <w:noWrap/>
            <w:vAlign w:val="bottom"/>
            <w:hideMark/>
          </w:tcPr>
          <w:p w14:paraId="71FEC95B"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p>
        </w:tc>
        <w:tc>
          <w:tcPr>
            <w:tcW w:w="1086"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67F8A37"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Estratégia de Alocação - Política de Investimento de 2022</w:t>
            </w:r>
          </w:p>
        </w:tc>
        <w:tc>
          <w:tcPr>
            <w:tcW w:w="680" w:type="pct"/>
            <w:gridSpan w:val="2"/>
            <w:tcBorders>
              <w:top w:val="single" w:sz="8" w:space="0" w:color="auto"/>
              <w:left w:val="nil"/>
              <w:bottom w:val="single" w:sz="8" w:space="0" w:color="auto"/>
              <w:right w:val="single" w:sz="8" w:space="0" w:color="000000"/>
            </w:tcBorders>
            <w:shd w:val="clear" w:color="000000" w:fill="D9D9D9"/>
            <w:vAlign w:val="center"/>
            <w:hideMark/>
          </w:tcPr>
          <w:p w14:paraId="75E63805"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Estratégia de Alocação - para os próximos cinco exercícios</w:t>
            </w:r>
          </w:p>
        </w:tc>
      </w:tr>
      <w:tr w:rsidR="007E2210" w:rsidRPr="007E2210" w14:paraId="3AD91B9F" w14:textId="77777777" w:rsidTr="007E2210">
        <w:trPr>
          <w:trHeight w:val="429"/>
        </w:trPr>
        <w:tc>
          <w:tcPr>
            <w:tcW w:w="696" w:type="pct"/>
            <w:tcBorders>
              <w:top w:val="single" w:sz="8" w:space="0" w:color="auto"/>
              <w:left w:val="single" w:sz="8" w:space="0" w:color="auto"/>
              <w:bottom w:val="nil"/>
              <w:right w:val="single" w:sz="8" w:space="0" w:color="auto"/>
            </w:tcBorders>
            <w:shd w:val="clear" w:color="000000" w:fill="D9D9D9"/>
            <w:vAlign w:val="center"/>
            <w:hideMark/>
          </w:tcPr>
          <w:p w14:paraId="475C0F88"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Segmento</w:t>
            </w:r>
          </w:p>
        </w:tc>
        <w:tc>
          <w:tcPr>
            <w:tcW w:w="2123" w:type="pct"/>
            <w:tcBorders>
              <w:top w:val="single" w:sz="8" w:space="0" w:color="auto"/>
              <w:left w:val="nil"/>
              <w:bottom w:val="single" w:sz="8" w:space="0" w:color="auto"/>
              <w:right w:val="single" w:sz="4" w:space="0" w:color="auto"/>
            </w:tcBorders>
            <w:shd w:val="clear" w:color="000000" w:fill="D9D9D9"/>
            <w:vAlign w:val="center"/>
            <w:hideMark/>
          </w:tcPr>
          <w:p w14:paraId="31CCA794"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Tipo de Ativo</w:t>
            </w:r>
          </w:p>
        </w:tc>
        <w:tc>
          <w:tcPr>
            <w:tcW w:w="414" w:type="pct"/>
            <w:tcBorders>
              <w:top w:val="single" w:sz="8" w:space="0" w:color="auto"/>
              <w:left w:val="nil"/>
              <w:bottom w:val="single" w:sz="8" w:space="0" w:color="auto"/>
              <w:right w:val="single" w:sz="8" w:space="0" w:color="auto"/>
            </w:tcBorders>
            <w:shd w:val="clear" w:color="000000" w:fill="D9D9D9"/>
            <w:vAlign w:val="center"/>
            <w:hideMark/>
          </w:tcPr>
          <w:p w14:paraId="1345A412"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da Resolução CMN %</w:t>
            </w:r>
          </w:p>
        </w:tc>
        <w:tc>
          <w:tcPr>
            <w:tcW w:w="323" w:type="pct"/>
            <w:tcBorders>
              <w:top w:val="nil"/>
              <w:left w:val="nil"/>
              <w:bottom w:val="nil"/>
              <w:right w:val="single" w:sz="4" w:space="0" w:color="auto"/>
            </w:tcBorders>
            <w:shd w:val="clear" w:color="000000" w:fill="D9D9D9"/>
            <w:vAlign w:val="center"/>
            <w:hideMark/>
          </w:tcPr>
          <w:p w14:paraId="71B40F11"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Inferior (%)</w:t>
            </w:r>
          </w:p>
        </w:tc>
        <w:tc>
          <w:tcPr>
            <w:tcW w:w="406" w:type="pct"/>
            <w:tcBorders>
              <w:top w:val="nil"/>
              <w:left w:val="nil"/>
              <w:bottom w:val="nil"/>
              <w:right w:val="single" w:sz="4" w:space="0" w:color="auto"/>
            </w:tcBorders>
            <w:shd w:val="clear" w:color="000000" w:fill="D9D9D9"/>
            <w:vAlign w:val="center"/>
            <w:hideMark/>
          </w:tcPr>
          <w:p w14:paraId="23B2F8C9"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Estratégia Alvo (%)</w:t>
            </w:r>
          </w:p>
        </w:tc>
        <w:tc>
          <w:tcPr>
            <w:tcW w:w="358" w:type="pct"/>
            <w:tcBorders>
              <w:top w:val="nil"/>
              <w:left w:val="nil"/>
              <w:bottom w:val="nil"/>
              <w:right w:val="single" w:sz="8" w:space="0" w:color="auto"/>
            </w:tcBorders>
            <w:shd w:val="clear" w:color="000000" w:fill="D9D9D9"/>
            <w:vAlign w:val="center"/>
            <w:hideMark/>
          </w:tcPr>
          <w:p w14:paraId="23FF095E"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Superior (%)</w:t>
            </w:r>
          </w:p>
        </w:tc>
        <w:tc>
          <w:tcPr>
            <w:tcW w:w="323" w:type="pct"/>
            <w:tcBorders>
              <w:top w:val="nil"/>
              <w:left w:val="nil"/>
              <w:bottom w:val="nil"/>
              <w:right w:val="single" w:sz="4" w:space="0" w:color="auto"/>
            </w:tcBorders>
            <w:shd w:val="clear" w:color="000000" w:fill="D9D9D9"/>
            <w:vAlign w:val="center"/>
            <w:hideMark/>
          </w:tcPr>
          <w:p w14:paraId="0A172688"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Inferior (%)</w:t>
            </w:r>
          </w:p>
        </w:tc>
        <w:tc>
          <w:tcPr>
            <w:tcW w:w="358" w:type="pct"/>
            <w:tcBorders>
              <w:top w:val="nil"/>
              <w:left w:val="nil"/>
              <w:bottom w:val="nil"/>
              <w:right w:val="single" w:sz="8" w:space="0" w:color="auto"/>
            </w:tcBorders>
            <w:shd w:val="clear" w:color="000000" w:fill="D9D9D9"/>
            <w:vAlign w:val="center"/>
            <w:hideMark/>
          </w:tcPr>
          <w:p w14:paraId="352DD88B"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Superior (%)</w:t>
            </w:r>
          </w:p>
        </w:tc>
      </w:tr>
      <w:tr w:rsidR="007E2210" w:rsidRPr="007E2210" w14:paraId="5D53E4AF" w14:textId="77777777" w:rsidTr="007E2210">
        <w:trPr>
          <w:trHeight w:val="304"/>
        </w:trPr>
        <w:tc>
          <w:tcPr>
            <w:tcW w:w="69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6057569"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Renda Fixa</w:t>
            </w:r>
          </w:p>
        </w:tc>
        <w:tc>
          <w:tcPr>
            <w:tcW w:w="2123" w:type="pct"/>
            <w:tcBorders>
              <w:top w:val="nil"/>
              <w:left w:val="nil"/>
              <w:bottom w:val="single" w:sz="4" w:space="0" w:color="auto"/>
              <w:right w:val="single" w:sz="4" w:space="0" w:color="auto"/>
            </w:tcBorders>
            <w:shd w:val="clear" w:color="auto" w:fill="auto"/>
            <w:noWrap/>
            <w:vAlign w:val="center"/>
            <w:hideMark/>
          </w:tcPr>
          <w:p w14:paraId="0A75FE09"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Títulos Públicos de emissão do TN – Art. 7º, I, “a”</w:t>
            </w:r>
          </w:p>
        </w:tc>
        <w:tc>
          <w:tcPr>
            <w:tcW w:w="414" w:type="pct"/>
            <w:tcBorders>
              <w:top w:val="nil"/>
              <w:left w:val="nil"/>
              <w:bottom w:val="single" w:sz="4" w:space="0" w:color="auto"/>
              <w:right w:val="single" w:sz="8" w:space="0" w:color="auto"/>
            </w:tcBorders>
            <w:shd w:val="clear" w:color="auto" w:fill="auto"/>
            <w:noWrap/>
            <w:vAlign w:val="center"/>
            <w:hideMark/>
          </w:tcPr>
          <w:p w14:paraId="6B9F5E48"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100,00%</w:t>
            </w:r>
          </w:p>
        </w:tc>
        <w:tc>
          <w:tcPr>
            <w:tcW w:w="323" w:type="pct"/>
            <w:tcBorders>
              <w:top w:val="single" w:sz="8" w:space="0" w:color="auto"/>
              <w:left w:val="nil"/>
              <w:bottom w:val="single" w:sz="8" w:space="0" w:color="auto"/>
              <w:right w:val="single" w:sz="8" w:space="0" w:color="auto"/>
            </w:tcBorders>
            <w:shd w:val="clear" w:color="000000" w:fill="FFFFFF"/>
            <w:vAlign w:val="center"/>
            <w:hideMark/>
          </w:tcPr>
          <w:p w14:paraId="5BF0E724"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single" w:sz="8" w:space="0" w:color="auto"/>
              <w:left w:val="nil"/>
              <w:bottom w:val="single" w:sz="8" w:space="0" w:color="auto"/>
              <w:right w:val="single" w:sz="8" w:space="0" w:color="auto"/>
            </w:tcBorders>
            <w:shd w:val="clear" w:color="000000" w:fill="FFFFFF"/>
            <w:vAlign w:val="center"/>
            <w:hideMark/>
          </w:tcPr>
          <w:p w14:paraId="43E03B00"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0C44508F"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50,00%</w:t>
            </w:r>
          </w:p>
        </w:tc>
        <w:tc>
          <w:tcPr>
            <w:tcW w:w="323" w:type="pct"/>
            <w:tcBorders>
              <w:top w:val="single" w:sz="8" w:space="0" w:color="auto"/>
              <w:left w:val="nil"/>
              <w:bottom w:val="single" w:sz="8" w:space="0" w:color="auto"/>
              <w:right w:val="single" w:sz="8" w:space="0" w:color="auto"/>
            </w:tcBorders>
            <w:shd w:val="clear" w:color="000000" w:fill="FFFFFF"/>
            <w:vAlign w:val="center"/>
            <w:hideMark/>
          </w:tcPr>
          <w:p w14:paraId="33D34475"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4AF6136C"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50,00%</w:t>
            </w:r>
          </w:p>
        </w:tc>
      </w:tr>
      <w:tr w:rsidR="007E2210" w:rsidRPr="007E2210" w14:paraId="64967E1F"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7678EE3B"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1858336A"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100% títulos TN - Art. 7º, I, "b"</w:t>
            </w:r>
          </w:p>
        </w:tc>
        <w:tc>
          <w:tcPr>
            <w:tcW w:w="414" w:type="pct"/>
            <w:tcBorders>
              <w:top w:val="nil"/>
              <w:left w:val="nil"/>
              <w:bottom w:val="single" w:sz="4" w:space="0" w:color="auto"/>
              <w:right w:val="single" w:sz="8" w:space="0" w:color="auto"/>
            </w:tcBorders>
            <w:shd w:val="clear" w:color="auto" w:fill="auto"/>
            <w:noWrap/>
            <w:vAlign w:val="center"/>
            <w:hideMark/>
          </w:tcPr>
          <w:p w14:paraId="0AB9253B"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100,00%</w:t>
            </w:r>
          </w:p>
        </w:tc>
        <w:tc>
          <w:tcPr>
            <w:tcW w:w="323" w:type="pct"/>
            <w:tcBorders>
              <w:top w:val="nil"/>
              <w:left w:val="nil"/>
              <w:bottom w:val="single" w:sz="8" w:space="0" w:color="auto"/>
              <w:right w:val="single" w:sz="8" w:space="0" w:color="auto"/>
            </w:tcBorders>
            <w:shd w:val="clear" w:color="000000" w:fill="FFFFFF"/>
            <w:vAlign w:val="center"/>
            <w:hideMark/>
          </w:tcPr>
          <w:p w14:paraId="7BD5F2FD"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14,71%</w:t>
            </w:r>
          </w:p>
        </w:tc>
        <w:tc>
          <w:tcPr>
            <w:tcW w:w="406" w:type="pct"/>
            <w:tcBorders>
              <w:top w:val="nil"/>
              <w:left w:val="nil"/>
              <w:bottom w:val="single" w:sz="8" w:space="0" w:color="auto"/>
              <w:right w:val="single" w:sz="8" w:space="0" w:color="auto"/>
            </w:tcBorders>
            <w:shd w:val="clear" w:color="000000" w:fill="FFFFFF"/>
            <w:vAlign w:val="center"/>
            <w:hideMark/>
          </w:tcPr>
          <w:p w14:paraId="59D7DAB4"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45,00%</w:t>
            </w:r>
          </w:p>
        </w:tc>
        <w:tc>
          <w:tcPr>
            <w:tcW w:w="358" w:type="pct"/>
            <w:tcBorders>
              <w:top w:val="nil"/>
              <w:left w:val="nil"/>
              <w:bottom w:val="single" w:sz="8" w:space="0" w:color="auto"/>
              <w:right w:val="single" w:sz="8" w:space="0" w:color="auto"/>
            </w:tcBorders>
            <w:shd w:val="clear" w:color="000000" w:fill="FFFFFF"/>
            <w:vAlign w:val="center"/>
            <w:hideMark/>
          </w:tcPr>
          <w:p w14:paraId="48EE22E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90,00%</w:t>
            </w:r>
          </w:p>
        </w:tc>
        <w:tc>
          <w:tcPr>
            <w:tcW w:w="323" w:type="pct"/>
            <w:tcBorders>
              <w:top w:val="nil"/>
              <w:left w:val="nil"/>
              <w:bottom w:val="single" w:sz="8" w:space="0" w:color="auto"/>
              <w:right w:val="single" w:sz="8" w:space="0" w:color="auto"/>
            </w:tcBorders>
            <w:shd w:val="clear" w:color="000000" w:fill="FFFFFF"/>
            <w:vAlign w:val="center"/>
            <w:hideMark/>
          </w:tcPr>
          <w:p w14:paraId="72BDC6E4"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14,71%</w:t>
            </w:r>
          </w:p>
        </w:tc>
        <w:tc>
          <w:tcPr>
            <w:tcW w:w="358" w:type="pct"/>
            <w:tcBorders>
              <w:top w:val="nil"/>
              <w:left w:val="nil"/>
              <w:bottom w:val="single" w:sz="8" w:space="0" w:color="auto"/>
              <w:right w:val="single" w:sz="8" w:space="0" w:color="auto"/>
            </w:tcBorders>
            <w:shd w:val="clear" w:color="000000" w:fill="FFFFFF"/>
            <w:vAlign w:val="center"/>
            <w:hideMark/>
          </w:tcPr>
          <w:p w14:paraId="758403E6"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90,00%</w:t>
            </w:r>
          </w:p>
        </w:tc>
      </w:tr>
      <w:tr w:rsidR="007E2210" w:rsidRPr="007E2210" w14:paraId="19491DDD"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7C7156EE"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2320E957"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ETF - 100% Títulos Públicos - Art. 7°, I "c"</w:t>
            </w:r>
          </w:p>
        </w:tc>
        <w:tc>
          <w:tcPr>
            <w:tcW w:w="414" w:type="pct"/>
            <w:tcBorders>
              <w:top w:val="nil"/>
              <w:left w:val="nil"/>
              <w:bottom w:val="single" w:sz="4" w:space="0" w:color="auto"/>
              <w:right w:val="single" w:sz="8" w:space="0" w:color="auto"/>
            </w:tcBorders>
            <w:shd w:val="clear" w:color="auto" w:fill="auto"/>
            <w:noWrap/>
            <w:vAlign w:val="center"/>
            <w:hideMark/>
          </w:tcPr>
          <w:p w14:paraId="40A4724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100,00%</w:t>
            </w:r>
          </w:p>
        </w:tc>
        <w:tc>
          <w:tcPr>
            <w:tcW w:w="323" w:type="pct"/>
            <w:tcBorders>
              <w:top w:val="nil"/>
              <w:left w:val="nil"/>
              <w:bottom w:val="single" w:sz="8" w:space="0" w:color="auto"/>
              <w:right w:val="single" w:sz="8" w:space="0" w:color="auto"/>
            </w:tcBorders>
            <w:shd w:val="clear" w:color="000000" w:fill="FFFFFF"/>
            <w:noWrap/>
            <w:vAlign w:val="center"/>
            <w:hideMark/>
          </w:tcPr>
          <w:p w14:paraId="7FC0755D"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156368C0"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21B639E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66D76C6A"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71670C20"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4F21378F"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250B730A"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4349129C"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Operações Compromissadas - Art. 7º, II</w:t>
            </w:r>
          </w:p>
        </w:tc>
        <w:tc>
          <w:tcPr>
            <w:tcW w:w="414" w:type="pct"/>
            <w:tcBorders>
              <w:top w:val="nil"/>
              <w:left w:val="nil"/>
              <w:bottom w:val="single" w:sz="4" w:space="0" w:color="auto"/>
              <w:right w:val="single" w:sz="8" w:space="0" w:color="auto"/>
            </w:tcBorders>
            <w:shd w:val="clear" w:color="auto" w:fill="auto"/>
            <w:noWrap/>
            <w:vAlign w:val="center"/>
            <w:hideMark/>
          </w:tcPr>
          <w:p w14:paraId="655BCB8D"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noWrap/>
            <w:vAlign w:val="center"/>
            <w:hideMark/>
          </w:tcPr>
          <w:p w14:paraId="0D9CDB1C"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558E707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547CDD38"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553F875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0137A77E"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5F0945E2"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485D37ED"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3B374F46"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Renda Fixa - Art. 7º, III, Alínea “a”</w:t>
            </w:r>
          </w:p>
        </w:tc>
        <w:tc>
          <w:tcPr>
            <w:tcW w:w="414" w:type="pct"/>
            <w:tcBorders>
              <w:top w:val="nil"/>
              <w:left w:val="nil"/>
              <w:bottom w:val="single" w:sz="4" w:space="0" w:color="auto"/>
              <w:right w:val="single" w:sz="8" w:space="0" w:color="auto"/>
            </w:tcBorders>
            <w:shd w:val="clear" w:color="auto" w:fill="auto"/>
            <w:noWrap/>
            <w:vAlign w:val="center"/>
            <w:hideMark/>
          </w:tcPr>
          <w:p w14:paraId="53E8F18B"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60,00%</w:t>
            </w:r>
          </w:p>
        </w:tc>
        <w:tc>
          <w:tcPr>
            <w:tcW w:w="323" w:type="pct"/>
            <w:tcBorders>
              <w:top w:val="nil"/>
              <w:left w:val="nil"/>
              <w:bottom w:val="single" w:sz="8" w:space="0" w:color="auto"/>
              <w:right w:val="single" w:sz="8" w:space="0" w:color="auto"/>
            </w:tcBorders>
            <w:shd w:val="clear" w:color="000000" w:fill="FFFFFF"/>
            <w:noWrap/>
            <w:vAlign w:val="center"/>
            <w:hideMark/>
          </w:tcPr>
          <w:p w14:paraId="2A87356B" w14:textId="1D59F261"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1</w:t>
            </w:r>
            <w:r w:rsidR="007E2210"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20190E22" w14:textId="750CDCFB" w:rsidR="007E2210" w:rsidRPr="007E2210" w:rsidRDefault="00D66461" w:rsidP="00D66461">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17</w:t>
            </w:r>
            <w:r w:rsidR="007E2210" w:rsidRPr="007E2210">
              <w:rPr>
                <w:rFonts w:ascii="Calibri" w:eastAsia="Times New Roman" w:hAnsi="Calibri" w:cs="Calibri"/>
                <w:color w:val="000000"/>
                <w:sz w:val="16"/>
                <w:szCs w:val="16"/>
                <w:lang w:eastAsia="pt-BR"/>
              </w:rPr>
              <w:t>,00%</w:t>
            </w:r>
          </w:p>
        </w:tc>
        <w:tc>
          <w:tcPr>
            <w:tcW w:w="358" w:type="pct"/>
            <w:tcBorders>
              <w:top w:val="nil"/>
              <w:left w:val="nil"/>
              <w:bottom w:val="single" w:sz="8" w:space="0" w:color="auto"/>
              <w:right w:val="single" w:sz="8" w:space="0" w:color="auto"/>
            </w:tcBorders>
            <w:shd w:val="clear" w:color="000000" w:fill="FFFFFF"/>
            <w:noWrap/>
            <w:vAlign w:val="center"/>
            <w:hideMark/>
          </w:tcPr>
          <w:p w14:paraId="7C3FF408" w14:textId="5BE836E3"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5</w:t>
            </w:r>
            <w:r w:rsidR="007E2210"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3C81D443" w14:textId="768E94CE"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1</w:t>
            </w:r>
            <w:r w:rsidR="007E2210"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5BB8E3D5" w14:textId="3FC4E59C"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5</w:t>
            </w:r>
            <w:r w:rsidR="007E2210" w:rsidRPr="007E2210">
              <w:rPr>
                <w:rFonts w:ascii="Calibri" w:eastAsia="Times New Roman" w:hAnsi="Calibri" w:cs="Calibri"/>
                <w:color w:val="000000"/>
                <w:sz w:val="16"/>
                <w:szCs w:val="16"/>
                <w:lang w:eastAsia="pt-BR"/>
              </w:rPr>
              <w:t>0,00%</w:t>
            </w:r>
          </w:p>
        </w:tc>
      </w:tr>
      <w:tr w:rsidR="007E2210" w:rsidRPr="007E2210" w14:paraId="2E2E41A0"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01CAD156"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5CCD88BD"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ETF - Renda Fixa - Art. 7º, III, Alínea “b”</w:t>
            </w:r>
          </w:p>
        </w:tc>
        <w:tc>
          <w:tcPr>
            <w:tcW w:w="414" w:type="pct"/>
            <w:tcBorders>
              <w:top w:val="nil"/>
              <w:left w:val="nil"/>
              <w:bottom w:val="single" w:sz="4" w:space="0" w:color="auto"/>
              <w:right w:val="single" w:sz="8" w:space="0" w:color="auto"/>
            </w:tcBorders>
            <w:shd w:val="clear" w:color="auto" w:fill="auto"/>
            <w:noWrap/>
            <w:vAlign w:val="center"/>
            <w:hideMark/>
          </w:tcPr>
          <w:p w14:paraId="540392DA"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60,00%</w:t>
            </w:r>
          </w:p>
        </w:tc>
        <w:tc>
          <w:tcPr>
            <w:tcW w:w="323" w:type="pct"/>
            <w:tcBorders>
              <w:top w:val="nil"/>
              <w:left w:val="nil"/>
              <w:bottom w:val="single" w:sz="8" w:space="0" w:color="auto"/>
              <w:right w:val="single" w:sz="8" w:space="0" w:color="auto"/>
            </w:tcBorders>
            <w:shd w:val="clear" w:color="000000" w:fill="FFFFFF"/>
            <w:noWrap/>
            <w:vAlign w:val="center"/>
            <w:hideMark/>
          </w:tcPr>
          <w:p w14:paraId="28259E06"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462C041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21A53A1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5AB1B75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6ED2F5D8"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7263AC9D"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3F986F2B"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55ED8881"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Renda Fixa de emissão bancária - Art. 7º, IV</w:t>
            </w:r>
          </w:p>
        </w:tc>
        <w:tc>
          <w:tcPr>
            <w:tcW w:w="414" w:type="pct"/>
            <w:tcBorders>
              <w:top w:val="nil"/>
              <w:left w:val="nil"/>
              <w:bottom w:val="single" w:sz="4" w:space="0" w:color="auto"/>
              <w:right w:val="single" w:sz="8" w:space="0" w:color="auto"/>
            </w:tcBorders>
            <w:shd w:val="clear" w:color="auto" w:fill="auto"/>
            <w:noWrap/>
            <w:vAlign w:val="center"/>
            <w:hideMark/>
          </w:tcPr>
          <w:p w14:paraId="149AAC6F"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20,00%</w:t>
            </w:r>
          </w:p>
        </w:tc>
        <w:tc>
          <w:tcPr>
            <w:tcW w:w="323" w:type="pct"/>
            <w:tcBorders>
              <w:top w:val="nil"/>
              <w:left w:val="nil"/>
              <w:bottom w:val="single" w:sz="8" w:space="0" w:color="auto"/>
              <w:right w:val="single" w:sz="8" w:space="0" w:color="auto"/>
            </w:tcBorders>
            <w:shd w:val="clear" w:color="000000" w:fill="FFFFFF"/>
            <w:vAlign w:val="center"/>
            <w:hideMark/>
          </w:tcPr>
          <w:p w14:paraId="0CD5E390" w14:textId="7FA9564D"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0487B880" w14:textId="4C19E3A5" w:rsidR="007E2210" w:rsidRPr="007E2210" w:rsidRDefault="00D66461" w:rsidP="007E2210">
            <w:pPr>
              <w:spacing w:after="0" w:line="240" w:lineRule="auto"/>
              <w:jc w:val="center"/>
              <w:rPr>
                <w:rFonts w:ascii="Calibri" w:eastAsia="Times New Roman" w:hAnsi="Calibri" w:cs="Calibri"/>
                <w:color w:val="000000"/>
                <w:sz w:val="14"/>
                <w:szCs w:val="14"/>
                <w:lang w:eastAsia="pt-BR"/>
              </w:rPr>
            </w:pPr>
            <w:r>
              <w:rPr>
                <w:rFonts w:ascii="Calibri" w:eastAsia="Times New Roman" w:hAnsi="Calibri" w:cs="Calibri"/>
                <w:color w:val="000000"/>
                <w:sz w:val="14"/>
                <w:szCs w:val="14"/>
                <w:lang w:eastAsia="pt-BR"/>
              </w:rPr>
              <w:t>1</w:t>
            </w:r>
            <w:r w:rsidR="007E2210" w:rsidRPr="007E2210">
              <w:rPr>
                <w:rFonts w:ascii="Calibri" w:eastAsia="Times New Roman" w:hAnsi="Calibri" w:cs="Calibri"/>
                <w:color w:val="000000"/>
                <w:sz w:val="14"/>
                <w:szCs w:val="14"/>
                <w:lang w:eastAsia="pt-BR"/>
              </w:rPr>
              <w:t>,00%</w:t>
            </w:r>
          </w:p>
        </w:tc>
        <w:tc>
          <w:tcPr>
            <w:tcW w:w="358" w:type="pct"/>
            <w:tcBorders>
              <w:top w:val="nil"/>
              <w:left w:val="nil"/>
              <w:bottom w:val="single" w:sz="8" w:space="0" w:color="auto"/>
              <w:right w:val="single" w:sz="8" w:space="0" w:color="auto"/>
            </w:tcBorders>
            <w:shd w:val="clear" w:color="000000" w:fill="FFFFFF"/>
            <w:vAlign w:val="center"/>
            <w:hideMark/>
          </w:tcPr>
          <w:p w14:paraId="65BDA7EB"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20,00%</w:t>
            </w:r>
          </w:p>
        </w:tc>
        <w:tc>
          <w:tcPr>
            <w:tcW w:w="323" w:type="pct"/>
            <w:tcBorders>
              <w:top w:val="nil"/>
              <w:left w:val="nil"/>
              <w:bottom w:val="single" w:sz="8" w:space="0" w:color="auto"/>
              <w:right w:val="single" w:sz="8" w:space="0" w:color="auto"/>
            </w:tcBorders>
            <w:shd w:val="clear" w:color="000000" w:fill="FFFFFF"/>
            <w:vAlign w:val="center"/>
            <w:hideMark/>
          </w:tcPr>
          <w:p w14:paraId="37DFBCA9" w14:textId="183F1E1D"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1D557484"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20,00%</w:t>
            </w:r>
          </w:p>
        </w:tc>
      </w:tr>
      <w:tr w:rsidR="007E2210" w:rsidRPr="007E2210" w14:paraId="438CC506"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74E1F9DE"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1C3BBD26"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em Direitos Creditórios - sênior - Art. 7º, V, Alínea “a”</w:t>
            </w:r>
          </w:p>
        </w:tc>
        <w:tc>
          <w:tcPr>
            <w:tcW w:w="414" w:type="pct"/>
            <w:tcBorders>
              <w:top w:val="nil"/>
              <w:left w:val="nil"/>
              <w:bottom w:val="single" w:sz="4" w:space="0" w:color="auto"/>
              <w:right w:val="single" w:sz="8" w:space="0" w:color="auto"/>
            </w:tcBorders>
            <w:shd w:val="clear" w:color="auto" w:fill="auto"/>
            <w:noWrap/>
            <w:vAlign w:val="center"/>
            <w:hideMark/>
          </w:tcPr>
          <w:p w14:paraId="3AD42C41"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vAlign w:val="center"/>
            <w:hideMark/>
          </w:tcPr>
          <w:p w14:paraId="78B27E18"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729C5FAB"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0,20%</w:t>
            </w:r>
          </w:p>
        </w:tc>
        <w:tc>
          <w:tcPr>
            <w:tcW w:w="358" w:type="pct"/>
            <w:tcBorders>
              <w:top w:val="nil"/>
              <w:left w:val="nil"/>
              <w:bottom w:val="single" w:sz="8" w:space="0" w:color="auto"/>
              <w:right w:val="single" w:sz="8" w:space="0" w:color="auto"/>
            </w:tcBorders>
            <w:shd w:val="clear" w:color="000000" w:fill="FFFFFF"/>
            <w:vAlign w:val="center"/>
            <w:hideMark/>
          </w:tcPr>
          <w:p w14:paraId="740F142F"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w:t>
            </w:r>
          </w:p>
        </w:tc>
        <w:tc>
          <w:tcPr>
            <w:tcW w:w="323" w:type="pct"/>
            <w:tcBorders>
              <w:top w:val="nil"/>
              <w:left w:val="nil"/>
              <w:bottom w:val="single" w:sz="8" w:space="0" w:color="auto"/>
              <w:right w:val="single" w:sz="8" w:space="0" w:color="auto"/>
            </w:tcBorders>
            <w:shd w:val="clear" w:color="000000" w:fill="FFFFFF"/>
            <w:vAlign w:val="center"/>
            <w:hideMark/>
          </w:tcPr>
          <w:p w14:paraId="0186530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192BE213"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w:t>
            </w:r>
          </w:p>
        </w:tc>
      </w:tr>
      <w:tr w:rsidR="007E2210" w:rsidRPr="007E2210" w14:paraId="484BBBD1"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0A6F5F85"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6DB03580"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Renda Fixa "Crédito Privado" - Art. 7º, V, Alínea “b”</w:t>
            </w:r>
          </w:p>
        </w:tc>
        <w:tc>
          <w:tcPr>
            <w:tcW w:w="414" w:type="pct"/>
            <w:tcBorders>
              <w:top w:val="nil"/>
              <w:left w:val="nil"/>
              <w:bottom w:val="single" w:sz="4" w:space="0" w:color="auto"/>
              <w:right w:val="single" w:sz="8" w:space="0" w:color="auto"/>
            </w:tcBorders>
            <w:shd w:val="clear" w:color="auto" w:fill="auto"/>
            <w:noWrap/>
            <w:vAlign w:val="center"/>
            <w:hideMark/>
          </w:tcPr>
          <w:p w14:paraId="1C01549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noWrap/>
            <w:vAlign w:val="center"/>
            <w:hideMark/>
          </w:tcPr>
          <w:p w14:paraId="7A168CF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4E2A48A7"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w:t>
            </w:r>
          </w:p>
        </w:tc>
        <w:tc>
          <w:tcPr>
            <w:tcW w:w="358" w:type="pct"/>
            <w:tcBorders>
              <w:top w:val="nil"/>
              <w:left w:val="nil"/>
              <w:bottom w:val="single" w:sz="8" w:space="0" w:color="auto"/>
              <w:right w:val="single" w:sz="8" w:space="0" w:color="auto"/>
            </w:tcBorders>
            <w:shd w:val="clear" w:color="000000" w:fill="FFFFFF"/>
            <w:noWrap/>
            <w:vAlign w:val="center"/>
            <w:hideMark/>
          </w:tcPr>
          <w:p w14:paraId="47320A9B"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noWrap/>
            <w:vAlign w:val="center"/>
            <w:hideMark/>
          </w:tcPr>
          <w:p w14:paraId="65CDB146"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1F16C9E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r>
      <w:tr w:rsidR="007E2210" w:rsidRPr="007E2210" w14:paraId="5582B338"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1C711D2A"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3A789EBD"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de Debêntures Infraestrutura - Art. 7º, V, Alínea "c"</w:t>
            </w:r>
          </w:p>
        </w:tc>
        <w:tc>
          <w:tcPr>
            <w:tcW w:w="414" w:type="pct"/>
            <w:tcBorders>
              <w:top w:val="nil"/>
              <w:left w:val="nil"/>
              <w:bottom w:val="single" w:sz="4" w:space="0" w:color="auto"/>
              <w:right w:val="single" w:sz="8" w:space="0" w:color="auto"/>
            </w:tcBorders>
            <w:shd w:val="clear" w:color="auto" w:fill="auto"/>
            <w:noWrap/>
            <w:vAlign w:val="center"/>
            <w:hideMark/>
          </w:tcPr>
          <w:p w14:paraId="406E814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noWrap/>
            <w:vAlign w:val="center"/>
            <w:hideMark/>
          </w:tcPr>
          <w:p w14:paraId="6A61E7EA"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490AF08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43BA0977"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5309EA5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3E6F7906"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066EA01B"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12225598"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single" w:sz="8" w:space="0" w:color="auto"/>
              <w:left w:val="nil"/>
              <w:bottom w:val="single" w:sz="8" w:space="0" w:color="auto"/>
              <w:right w:val="single" w:sz="4" w:space="0" w:color="auto"/>
            </w:tcBorders>
            <w:shd w:val="clear" w:color="000000" w:fill="D9D9D9"/>
            <w:noWrap/>
            <w:vAlign w:val="center"/>
            <w:hideMark/>
          </w:tcPr>
          <w:p w14:paraId="4A3A716C" w14:textId="77777777" w:rsidR="007E2210" w:rsidRPr="007E2210" w:rsidRDefault="007E2210" w:rsidP="007E2210">
            <w:pPr>
              <w:spacing w:after="0" w:line="240" w:lineRule="auto"/>
              <w:jc w:val="left"/>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 xml:space="preserve">Limite de Renda Fixa </w:t>
            </w:r>
          </w:p>
        </w:tc>
        <w:tc>
          <w:tcPr>
            <w:tcW w:w="414" w:type="pct"/>
            <w:tcBorders>
              <w:top w:val="single" w:sz="8" w:space="0" w:color="auto"/>
              <w:left w:val="nil"/>
              <w:bottom w:val="single" w:sz="8" w:space="0" w:color="auto"/>
              <w:right w:val="single" w:sz="8" w:space="0" w:color="auto"/>
            </w:tcBorders>
            <w:shd w:val="clear" w:color="000000" w:fill="D9D9D9"/>
            <w:noWrap/>
            <w:vAlign w:val="center"/>
            <w:hideMark/>
          </w:tcPr>
          <w:p w14:paraId="3F1E27D5"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100,00%</w:t>
            </w:r>
          </w:p>
        </w:tc>
        <w:tc>
          <w:tcPr>
            <w:tcW w:w="323" w:type="pct"/>
            <w:tcBorders>
              <w:top w:val="nil"/>
              <w:left w:val="nil"/>
              <w:bottom w:val="single" w:sz="8" w:space="0" w:color="auto"/>
              <w:right w:val="single" w:sz="4" w:space="0" w:color="auto"/>
            </w:tcBorders>
            <w:shd w:val="clear" w:color="000000" w:fill="D9D9D9"/>
            <w:noWrap/>
            <w:vAlign w:val="center"/>
            <w:hideMark/>
          </w:tcPr>
          <w:p w14:paraId="02EAE9EE"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24,71%</w:t>
            </w:r>
          </w:p>
        </w:tc>
        <w:tc>
          <w:tcPr>
            <w:tcW w:w="406" w:type="pct"/>
            <w:tcBorders>
              <w:top w:val="nil"/>
              <w:left w:val="nil"/>
              <w:bottom w:val="single" w:sz="8" w:space="0" w:color="auto"/>
              <w:right w:val="single" w:sz="4" w:space="0" w:color="auto"/>
            </w:tcBorders>
            <w:shd w:val="clear" w:color="000000" w:fill="D9D9D9"/>
            <w:noWrap/>
            <w:vAlign w:val="center"/>
            <w:hideMark/>
          </w:tcPr>
          <w:p w14:paraId="091CF0E2" w14:textId="088555D3" w:rsidR="007E2210" w:rsidRPr="007E2210" w:rsidRDefault="007E2210" w:rsidP="00D66461">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7</w:t>
            </w:r>
            <w:r w:rsidR="00D66461">
              <w:rPr>
                <w:rFonts w:ascii="Calibri" w:eastAsia="Times New Roman" w:hAnsi="Calibri" w:cs="Calibri"/>
                <w:b/>
                <w:bCs/>
                <w:color w:val="000000"/>
                <w:sz w:val="16"/>
                <w:szCs w:val="16"/>
                <w:lang w:eastAsia="pt-BR"/>
              </w:rPr>
              <w:t>4</w:t>
            </w:r>
            <w:r w:rsidRPr="007E2210">
              <w:rPr>
                <w:rFonts w:ascii="Calibri" w:eastAsia="Times New Roman" w:hAnsi="Calibri" w:cs="Calibri"/>
                <w:b/>
                <w:bCs/>
                <w:color w:val="000000"/>
                <w:sz w:val="16"/>
                <w:szCs w:val="16"/>
                <w:lang w:eastAsia="pt-BR"/>
              </w:rPr>
              <w:t>,20%</w:t>
            </w:r>
          </w:p>
        </w:tc>
        <w:tc>
          <w:tcPr>
            <w:tcW w:w="358" w:type="pct"/>
            <w:tcBorders>
              <w:top w:val="nil"/>
              <w:left w:val="nil"/>
              <w:bottom w:val="single" w:sz="8" w:space="0" w:color="auto"/>
              <w:right w:val="single" w:sz="8" w:space="0" w:color="auto"/>
            </w:tcBorders>
            <w:shd w:val="clear" w:color="000000" w:fill="D9D9D9"/>
            <w:noWrap/>
            <w:vAlign w:val="center"/>
            <w:hideMark/>
          </w:tcPr>
          <w:p w14:paraId="3651C208" w14:textId="2EA34987" w:rsidR="007E2210" w:rsidRPr="007E2210" w:rsidRDefault="00D66461" w:rsidP="007E2210">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21</w:t>
            </w:r>
            <w:r w:rsidR="007E2210" w:rsidRPr="007E2210">
              <w:rPr>
                <w:rFonts w:ascii="Calibri" w:eastAsia="Times New Roman" w:hAnsi="Calibri" w:cs="Calibri"/>
                <w:b/>
                <w:bCs/>
                <w:color w:val="000000"/>
                <w:sz w:val="16"/>
                <w:szCs w:val="16"/>
                <w:lang w:eastAsia="pt-BR"/>
              </w:rPr>
              <w:t>6,00%</w:t>
            </w:r>
          </w:p>
        </w:tc>
        <w:tc>
          <w:tcPr>
            <w:tcW w:w="323" w:type="pct"/>
            <w:tcBorders>
              <w:top w:val="nil"/>
              <w:left w:val="nil"/>
              <w:bottom w:val="single" w:sz="8" w:space="0" w:color="auto"/>
              <w:right w:val="single" w:sz="4" w:space="0" w:color="auto"/>
            </w:tcBorders>
            <w:shd w:val="clear" w:color="000000" w:fill="D9D9D9"/>
            <w:noWrap/>
            <w:vAlign w:val="center"/>
            <w:hideMark/>
          </w:tcPr>
          <w:p w14:paraId="798D72A7"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24,71%</w:t>
            </w:r>
          </w:p>
        </w:tc>
        <w:tc>
          <w:tcPr>
            <w:tcW w:w="358" w:type="pct"/>
            <w:tcBorders>
              <w:top w:val="nil"/>
              <w:left w:val="nil"/>
              <w:bottom w:val="single" w:sz="8" w:space="0" w:color="auto"/>
              <w:right w:val="single" w:sz="8" w:space="0" w:color="auto"/>
            </w:tcBorders>
            <w:shd w:val="clear" w:color="000000" w:fill="D9D9D9"/>
            <w:noWrap/>
            <w:vAlign w:val="center"/>
            <w:hideMark/>
          </w:tcPr>
          <w:p w14:paraId="427465B5" w14:textId="7C75FC1F" w:rsidR="007E2210" w:rsidRPr="007E2210" w:rsidRDefault="00D66461" w:rsidP="007E2210">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21</w:t>
            </w:r>
            <w:r w:rsidR="007E2210" w:rsidRPr="007E2210">
              <w:rPr>
                <w:rFonts w:ascii="Calibri" w:eastAsia="Times New Roman" w:hAnsi="Calibri" w:cs="Calibri"/>
                <w:b/>
                <w:bCs/>
                <w:color w:val="000000"/>
                <w:sz w:val="16"/>
                <w:szCs w:val="16"/>
                <w:lang w:eastAsia="pt-BR"/>
              </w:rPr>
              <w:t>6,00%</w:t>
            </w:r>
          </w:p>
        </w:tc>
      </w:tr>
      <w:tr w:rsidR="007E2210" w:rsidRPr="007E2210" w14:paraId="09C60E57" w14:textId="77777777" w:rsidTr="007E2210">
        <w:trPr>
          <w:trHeight w:val="291"/>
        </w:trPr>
        <w:tc>
          <w:tcPr>
            <w:tcW w:w="69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D00ECFF"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Renda Variável e Estrut.</w:t>
            </w:r>
          </w:p>
        </w:tc>
        <w:tc>
          <w:tcPr>
            <w:tcW w:w="2123" w:type="pct"/>
            <w:tcBorders>
              <w:top w:val="single" w:sz="8" w:space="0" w:color="auto"/>
              <w:left w:val="nil"/>
              <w:bottom w:val="single" w:sz="4" w:space="0" w:color="auto"/>
              <w:right w:val="single" w:sz="4" w:space="0" w:color="auto"/>
            </w:tcBorders>
            <w:shd w:val="clear" w:color="auto" w:fill="auto"/>
            <w:noWrap/>
            <w:vAlign w:val="center"/>
            <w:hideMark/>
          </w:tcPr>
          <w:p w14:paraId="0790CD87"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de Ações  - Art. 8º, I</w:t>
            </w:r>
          </w:p>
        </w:tc>
        <w:tc>
          <w:tcPr>
            <w:tcW w:w="414" w:type="pct"/>
            <w:tcBorders>
              <w:top w:val="single" w:sz="8" w:space="0" w:color="auto"/>
              <w:left w:val="nil"/>
              <w:bottom w:val="single" w:sz="4" w:space="0" w:color="auto"/>
              <w:right w:val="nil"/>
            </w:tcBorders>
            <w:shd w:val="clear" w:color="auto" w:fill="auto"/>
            <w:noWrap/>
            <w:vAlign w:val="center"/>
            <w:hideMark/>
          </w:tcPr>
          <w:p w14:paraId="5929742E"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30,00%</w:t>
            </w:r>
          </w:p>
        </w:tc>
        <w:tc>
          <w:tcPr>
            <w:tcW w:w="32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65AF522"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406" w:type="pct"/>
            <w:tcBorders>
              <w:top w:val="single" w:sz="8" w:space="0" w:color="auto"/>
              <w:left w:val="nil"/>
              <w:bottom w:val="single" w:sz="8" w:space="0" w:color="auto"/>
              <w:right w:val="single" w:sz="8" w:space="0" w:color="auto"/>
            </w:tcBorders>
            <w:shd w:val="clear" w:color="000000" w:fill="FFFFFF"/>
            <w:vAlign w:val="center"/>
            <w:hideMark/>
          </w:tcPr>
          <w:p w14:paraId="0A7AECD3"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17,00%</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8DC1B78"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30,00%</w:t>
            </w:r>
          </w:p>
        </w:tc>
        <w:tc>
          <w:tcPr>
            <w:tcW w:w="323" w:type="pct"/>
            <w:tcBorders>
              <w:top w:val="single" w:sz="8" w:space="0" w:color="auto"/>
              <w:left w:val="nil"/>
              <w:bottom w:val="single" w:sz="8" w:space="0" w:color="auto"/>
              <w:right w:val="single" w:sz="8" w:space="0" w:color="auto"/>
            </w:tcBorders>
            <w:shd w:val="clear" w:color="000000" w:fill="FFFFFF"/>
            <w:vAlign w:val="center"/>
            <w:hideMark/>
          </w:tcPr>
          <w:p w14:paraId="1F1682A4"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3D9EA253"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30,00%</w:t>
            </w:r>
          </w:p>
        </w:tc>
      </w:tr>
      <w:tr w:rsidR="007E2210" w:rsidRPr="007E2210" w14:paraId="3684E24E"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0E20DE53"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1DFDCAE7"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ETF - Índice de Ações - Art. 8º, II</w:t>
            </w:r>
          </w:p>
        </w:tc>
        <w:tc>
          <w:tcPr>
            <w:tcW w:w="414" w:type="pct"/>
            <w:tcBorders>
              <w:top w:val="nil"/>
              <w:left w:val="nil"/>
              <w:bottom w:val="single" w:sz="4" w:space="0" w:color="auto"/>
              <w:right w:val="nil"/>
            </w:tcBorders>
            <w:shd w:val="clear" w:color="auto" w:fill="auto"/>
            <w:noWrap/>
            <w:vAlign w:val="center"/>
            <w:hideMark/>
          </w:tcPr>
          <w:p w14:paraId="2C5DD4F7"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30,00%</w:t>
            </w:r>
          </w:p>
        </w:tc>
        <w:tc>
          <w:tcPr>
            <w:tcW w:w="323" w:type="pct"/>
            <w:tcBorders>
              <w:top w:val="nil"/>
              <w:left w:val="single" w:sz="8" w:space="0" w:color="auto"/>
              <w:bottom w:val="single" w:sz="8" w:space="0" w:color="auto"/>
              <w:right w:val="single" w:sz="8" w:space="0" w:color="auto"/>
            </w:tcBorders>
            <w:shd w:val="clear" w:color="000000" w:fill="FFFFFF"/>
            <w:noWrap/>
            <w:vAlign w:val="center"/>
            <w:hideMark/>
          </w:tcPr>
          <w:p w14:paraId="26BFC16D"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256C4732"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45F3FF6A"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3C9A4C77"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06744B99"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715B9A17"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22EAAD3E"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2004F460"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Multimercado  - Art. 10º, I.</w:t>
            </w:r>
          </w:p>
        </w:tc>
        <w:tc>
          <w:tcPr>
            <w:tcW w:w="414" w:type="pct"/>
            <w:tcBorders>
              <w:top w:val="nil"/>
              <w:left w:val="nil"/>
              <w:bottom w:val="single" w:sz="4" w:space="0" w:color="auto"/>
              <w:right w:val="nil"/>
            </w:tcBorders>
            <w:shd w:val="clear" w:color="auto" w:fill="auto"/>
            <w:noWrap/>
            <w:vAlign w:val="center"/>
            <w:hideMark/>
          </w:tcPr>
          <w:p w14:paraId="791FB9F9"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w:t>
            </w:r>
          </w:p>
        </w:tc>
        <w:tc>
          <w:tcPr>
            <w:tcW w:w="323" w:type="pct"/>
            <w:tcBorders>
              <w:top w:val="nil"/>
              <w:left w:val="single" w:sz="8" w:space="0" w:color="auto"/>
              <w:bottom w:val="single" w:sz="8" w:space="0" w:color="auto"/>
              <w:right w:val="single" w:sz="8" w:space="0" w:color="auto"/>
            </w:tcBorders>
            <w:shd w:val="clear" w:color="000000" w:fill="FFFFFF"/>
            <w:vAlign w:val="center"/>
            <w:hideMark/>
          </w:tcPr>
          <w:p w14:paraId="512E8103"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2,00%</w:t>
            </w:r>
          </w:p>
        </w:tc>
        <w:tc>
          <w:tcPr>
            <w:tcW w:w="406" w:type="pct"/>
            <w:tcBorders>
              <w:top w:val="nil"/>
              <w:left w:val="nil"/>
              <w:bottom w:val="single" w:sz="8" w:space="0" w:color="auto"/>
              <w:right w:val="single" w:sz="8" w:space="0" w:color="auto"/>
            </w:tcBorders>
            <w:shd w:val="clear" w:color="000000" w:fill="FFFFFF"/>
            <w:vAlign w:val="center"/>
            <w:hideMark/>
          </w:tcPr>
          <w:p w14:paraId="00183E2A"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4,00%</w:t>
            </w:r>
          </w:p>
        </w:tc>
        <w:tc>
          <w:tcPr>
            <w:tcW w:w="358" w:type="pct"/>
            <w:tcBorders>
              <w:top w:val="nil"/>
              <w:left w:val="nil"/>
              <w:bottom w:val="single" w:sz="8" w:space="0" w:color="auto"/>
              <w:right w:val="single" w:sz="8" w:space="0" w:color="auto"/>
            </w:tcBorders>
            <w:shd w:val="clear" w:color="000000" w:fill="FFFFFF"/>
            <w:vAlign w:val="center"/>
            <w:hideMark/>
          </w:tcPr>
          <w:p w14:paraId="3D157E3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323" w:type="pct"/>
            <w:tcBorders>
              <w:top w:val="nil"/>
              <w:left w:val="nil"/>
              <w:bottom w:val="single" w:sz="8" w:space="0" w:color="auto"/>
              <w:right w:val="single" w:sz="8" w:space="0" w:color="auto"/>
            </w:tcBorders>
            <w:shd w:val="clear" w:color="000000" w:fill="FFFFFF"/>
            <w:vAlign w:val="center"/>
            <w:hideMark/>
          </w:tcPr>
          <w:p w14:paraId="7C97DD38"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2,00%</w:t>
            </w:r>
          </w:p>
        </w:tc>
        <w:tc>
          <w:tcPr>
            <w:tcW w:w="358" w:type="pct"/>
            <w:tcBorders>
              <w:top w:val="nil"/>
              <w:left w:val="nil"/>
              <w:bottom w:val="single" w:sz="8" w:space="0" w:color="auto"/>
              <w:right w:val="single" w:sz="8" w:space="0" w:color="auto"/>
            </w:tcBorders>
            <w:shd w:val="clear" w:color="000000" w:fill="FFFFFF"/>
            <w:vAlign w:val="center"/>
            <w:hideMark/>
          </w:tcPr>
          <w:p w14:paraId="690EA1A1"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r>
      <w:tr w:rsidR="007E2210" w:rsidRPr="007E2210" w14:paraId="3EBF6F21"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6233672E"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690A2F3E"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em Participações - 10º, II</w:t>
            </w:r>
          </w:p>
        </w:tc>
        <w:tc>
          <w:tcPr>
            <w:tcW w:w="414" w:type="pct"/>
            <w:tcBorders>
              <w:top w:val="nil"/>
              <w:left w:val="nil"/>
              <w:bottom w:val="single" w:sz="4" w:space="0" w:color="auto"/>
              <w:right w:val="nil"/>
            </w:tcBorders>
            <w:shd w:val="clear" w:color="auto" w:fill="auto"/>
            <w:noWrap/>
            <w:vAlign w:val="center"/>
            <w:hideMark/>
          </w:tcPr>
          <w:p w14:paraId="46C34E11"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single" w:sz="8" w:space="0" w:color="auto"/>
              <w:bottom w:val="single" w:sz="8" w:space="0" w:color="auto"/>
              <w:right w:val="single" w:sz="8" w:space="0" w:color="auto"/>
            </w:tcBorders>
            <w:shd w:val="clear" w:color="000000" w:fill="FFFFFF"/>
            <w:noWrap/>
            <w:vAlign w:val="center"/>
            <w:hideMark/>
          </w:tcPr>
          <w:p w14:paraId="4D96B54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29B502C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2037E5DB"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1B79D56F"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2BFDB2C1"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42C7C289"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511716BC"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7DD00AA7"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Mercado de Acesso - Art. 10º, III.</w:t>
            </w:r>
          </w:p>
        </w:tc>
        <w:tc>
          <w:tcPr>
            <w:tcW w:w="414" w:type="pct"/>
            <w:tcBorders>
              <w:top w:val="nil"/>
              <w:left w:val="nil"/>
              <w:bottom w:val="single" w:sz="4" w:space="0" w:color="auto"/>
              <w:right w:val="nil"/>
            </w:tcBorders>
            <w:shd w:val="clear" w:color="auto" w:fill="auto"/>
            <w:noWrap/>
            <w:vAlign w:val="center"/>
            <w:hideMark/>
          </w:tcPr>
          <w:p w14:paraId="3135992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single" w:sz="8" w:space="0" w:color="auto"/>
              <w:bottom w:val="single" w:sz="8" w:space="0" w:color="auto"/>
              <w:right w:val="single" w:sz="8" w:space="0" w:color="auto"/>
            </w:tcBorders>
            <w:shd w:val="clear" w:color="000000" w:fill="FFFFFF"/>
            <w:vAlign w:val="center"/>
            <w:hideMark/>
          </w:tcPr>
          <w:p w14:paraId="70409FEA"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7A43C9CB"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15A15F45"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23" w:type="pct"/>
            <w:tcBorders>
              <w:top w:val="nil"/>
              <w:left w:val="nil"/>
              <w:bottom w:val="single" w:sz="8" w:space="0" w:color="auto"/>
              <w:right w:val="single" w:sz="8" w:space="0" w:color="auto"/>
            </w:tcBorders>
            <w:shd w:val="clear" w:color="000000" w:fill="FFFFFF"/>
            <w:vAlign w:val="center"/>
            <w:hideMark/>
          </w:tcPr>
          <w:p w14:paraId="6AD08A8B"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5D5FE45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r>
      <w:tr w:rsidR="007E2210" w:rsidRPr="007E2210" w14:paraId="7306CDB3"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047ECEF3"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nil"/>
              <w:right w:val="single" w:sz="4" w:space="0" w:color="auto"/>
            </w:tcBorders>
            <w:shd w:val="clear" w:color="auto" w:fill="auto"/>
            <w:noWrap/>
            <w:vAlign w:val="center"/>
            <w:hideMark/>
          </w:tcPr>
          <w:p w14:paraId="0FD5F734"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Imobiliário - Art. 11º</w:t>
            </w:r>
          </w:p>
        </w:tc>
        <w:tc>
          <w:tcPr>
            <w:tcW w:w="414" w:type="pct"/>
            <w:tcBorders>
              <w:top w:val="nil"/>
              <w:left w:val="nil"/>
              <w:bottom w:val="single" w:sz="4" w:space="0" w:color="auto"/>
              <w:right w:val="nil"/>
            </w:tcBorders>
            <w:shd w:val="clear" w:color="auto" w:fill="auto"/>
            <w:noWrap/>
            <w:vAlign w:val="center"/>
            <w:hideMark/>
          </w:tcPr>
          <w:p w14:paraId="1E793ED7"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single" w:sz="8" w:space="0" w:color="auto"/>
              <w:bottom w:val="single" w:sz="8" w:space="0" w:color="auto"/>
              <w:right w:val="single" w:sz="8" w:space="0" w:color="auto"/>
            </w:tcBorders>
            <w:shd w:val="clear" w:color="000000" w:fill="FFFFFF"/>
            <w:vAlign w:val="center"/>
            <w:hideMark/>
          </w:tcPr>
          <w:p w14:paraId="2C6C7362"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57932FB2"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0,20%</w:t>
            </w:r>
          </w:p>
        </w:tc>
        <w:tc>
          <w:tcPr>
            <w:tcW w:w="358" w:type="pct"/>
            <w:tcBorders>
              <w:top w:val="nil"/>
              <w:left w:val="nil"/>
              <w:bottom w:val="single" w:sz="8" w:space="0" w:color="auto"/>
              <w:right w:val="single" w:sz="8" w:space="0" w:color="auto"/>
            </w:tcBorders>
            <w:shd w:val="clear" w:color="000000" w:fill="FFFFFF"/>
            <w:vAlign w:val="center"/>
            <w:hideMark/>
          </w:tcPr>
          <w:p w14:paraId="4499A93D"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w:t>
            </w:r>
          </w:p>
        </w:tc>
        <w:tc>
          <w:tcPr>
            <w:tcW w:w="323" w:type="pct"/>
            <w:tcBorders>
              <w:top w:val="nil"/>
              <w:left w:val="nil"/>
              <w:bottom w:val="single" w:sz="8" w:space="0" w:color="auto"/>
              <w:right w:val="single" w:sz="8" w:space="0" w:color="auto"/>
            </w:tcBorders>
            <w:shd w:val="clear" w:color="000000" w:fill="FFFFFF"/>
            <w:vAlign w:val="center"/>
            <w:hideMark/>
          </w:tcPr>
          <w:p w14:paraId="55FE6060"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1AC42D33"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w:t>
            </w:r>
          </w:p>
        </w:tc>
      </w:tr>
      <w:tr w:rsidR="007E2210" w:rsidRPr="007E2210" w14:paraId="572CF12B" w14:textId="77777777" w:rsidTr="007E2210">
        <w:trPr>
          <w:trHeight w:val="304"/>
        </w:trPr>
        <w:tc>
          <w:tcPr>
            <w:tcW w:w="696" w:type="pct"/>
            <w:vMerge/>
            <w:tcBorders>
              <w:top w:val="single" w:sz="8" w:space="0" w:color="auto"/>
              <w:left w:val="single" w:sz="8" w:space="0" w:color="auto"/>
              <w:bottom w:val="single" w:sz="8" w:space="0" w:color="000000"/>
              <w:right w:val="single" w:sz="8" w:space="0" w:color="auto"/>
            </w:tcBorders>
            <w:vAlign w:val="center"/>
            <w:hideMark/>
          </w:tcPr>
          <w:p w14:paraId="670E3380"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single" w:sz="8" w:space="0" w:color="auto"/>
              <w:left w:val="nil"/>
              <w:bottom w:val="single" w:sz="8" w:space="0" w:color="auto"/>
              <w:right w:val="single" w:sz="4" w:space="0" w:color="auto"/>
            </w:tcBorders>
            <w:shd w:val="clear" w:color="000000" w:fill="D9D9D9"/>
            <w:noWrap/>
            <w:vAlign w:val="center"/>
            <w:hideMark/>
          </w:tcPr>
          <w:p w14:paraId="26DAAFDC" w14:textId="77777777" w:rsidR="007E2210" w:rsidRPr="007E2210" w:rsidRDefault="007E2210" w:rsidP="007E2210">
            <w:pPr>
              <w:spacing w:after="0" w:line="240" w:lineRule="auto"/>
              <w:jc w:val="left"/>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de Renda Variável e Estruturado</w:t>
            </w:r>
          </w:p>
        </w:tc>
        <w:tc>
          <w:tcPr>
            <w:tcW w:w="414" w:type="pct"/>
            <w:tcBorders>
              <w:top w:val="single" w:sz="8" w:space="0" w:color="auto"/>
              <w:left w:val="nil"/>
              <w:bottom w:val="single" w:sz="8" w:space="0" w:color="auto"/>
              <w:right w:val="nil"/>
            </w:tcBorders>
            <w:shd w:val="clear" w:color="000000" w:fill="D9D9D9"/>
            <w:noWrap/>
            <w:vAlign w:val="center"/>
            <w:hideMark/>
          </w:tcPr>
          <w:p w14:paraId="2E995627"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30,00%</w:t>
            </w:r>
          </w:p>
        </w:tc>
        <w:tc>
          <w:tcPr>
            <w:tcW w:w="323" w:type="pct"/>
            <w:tcBorders>
              <w:top w:val="nil"/>
              <w:left w:val="single" w:sz="8" w:space="0" w:color="auto"/>
              <w:bottom w:val="single" w:sz="8" w:space="0" w:color="auto"/>
              <w:right w:val="single" w:sz="4" w:space="0" w:color="auto"/>
            </w:tcBorders>
            <w:shd w:val="clear" w:color="000000" w:fill="D9D9D9"/>
            <w:noWrap/>
            <w:vAlign w:val="center"/>
            <w:hideMark/>
          </w:tcPr>
          <w:p w14:paraId="4B8AD7BB"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12,00%</w:t>
            </w:r>
          </w:p>
        </w:tc>
        <w:tc>
          <w:tcPr>
            <w:tcW w:w="406" w:type="pct"/>
            <w:tcBorders>
              <w:top w:val="nil"/>
              <w:left w:val="nil"/>
              <w:bottom w:val="single" w:sz="8" w:space="0" w:color="auto"/>
              <w:right w:val="single" w:sz="4" w:space="0" w:color="auto"/>
            </w:tcBorders>
            <w:shd w:val="clear" w:color="000000" w:fill="D9D9D9"/>
            <w:noWrap/>
            <w:vAlign w:val="center"/>
            <w:hideMark/>
          </w:tcPr>
          <w:p w14:paraId="2882F84D"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21,20%</w:t>
            </w:r>
          </w:p>
        </w:tc>
        <w:tc>
          <w:tcPr>
            <w:tcW w:w="358" w:type="pct"/>
            <w:tcBorders>
              <w:top w:val="nil"/>
              <w:left w:val="nil"/>
              <w:bottom w:val="single" w:sz="8" w:space="0" w:color="auto"/>
              <w:right w:val="single" w:sz="8" w:space="0" w:color="auto"/>
            </w:tcBorders>
            <w:shd w:val="clear" w:color="000000" w:fill="D9D9D9"/>
            <w:noWrap/>
            <w:vAlign w:val="center"/>
            <w:hideMark/>
          </w:tcPr>
          <w:p w14:paraId="437C73DF"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41,00%</w:t>
            </w:r>
          </w:p>
        </w:tc>
        <w:tc>
          <w:tcPr>
            <w:tcW w:w="323" w:type="pct"/>
            <w:tcBorders>
              <w:top w:val="nil"/>
              <w:left w:val="nil"/>
              <w:bottom w:val="single" w:sz="8" w:space="0" w:color="auto"/>
              <w:right w:val="single" w:sz="4" w:space="0" w:color="auto"/>
            </w:tcBorders>
            <w:shd w:val="clear" w:color="000000" w:fill="D9D9D9"/>
            <w:noWrap/>
            <w:vAlign w:val="center"/>
            <w:hideMark/>
          </w:tcPr>
          <w:p w14:paraId="1875F9F2"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12,00%</w:t>
            </w:r>
          </w:p>
        </w:tc>
        <w:tc>
          <w:tcPr>
            <w:tcW w:w="358" w:type="pct"/>
            <w:tcBorders>
              <w:top w:val="nil"/>
              <w:left w:val="nil"/>
              <w:bottom w:val="single" w:sz="8" w:space="0" w:color="auto"/>
              <w:right w:val="single" w:sz="8" w:space="0" w:color="auto"/>
            </w:tcBorders>
            <w:shd w:val="clear" w:color="000000" w:fill="D9D9D9"/>
            <w:noWrap/>
            <w:vAlign w:val="center"/>
            <w:hideMark/>
          </w:tcPr>
          <w:p w14:paraId="01027AC8"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41,00%</w:t>
            </w:r>
          </w:p>
        </w:tc>
      </w:tr>
      <w:tr w:rsidR="007E2210" w:rsidRPr="007E2210" w14:paraId="05675A5B" w14:textId="77777777" w:rsidTr="007E2210">
        <w:trPr>
          <w:trHeight w:val="304"/>
        </w:trPr>
        <w:tc>
          <w:tcPr>
            <w:tcW w:w="69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22CE665"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Invest. No Exterior</w:t>
            </w:r>
          </w:p>
        </w:tc>
        <w:tc>
          <w:tcPr>
            <w:tcW w:w="2123" w:type="pct"/>
            <w:tcBorders>
              <w:top w:val="nil"/>
              <w:left w:val="nil"/>
              <w:bottom w:val="single" w:sz="4" w:space="0" w:color="auto"/>
              <w:right w:val="single" w:sz="4" w:space="0" w:color="auto"/>
            </w:tcBorders>
            <w:shd w:val="clear" w:color="auto" w:fill="auto"/>
            <w:noWrap/>
            <w:vAlign w:val="center"/>
            <w:hideMark/>
          </w:tcPr>
          <w:p w14:paraId="3F8FABF3"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de Renda Fixa - Dívida Externa - Art. 9º, I</w:t>
            </w:r>
          </w:p>
        </w:tc>
        <w:tc>
          <w:tcPr>
            <w:tcW w:w="414" w:type="pct"/>
            <w:tcBorders>
              <w:top w:val="nil"/>
              <w:left w:val="nil"/>
              <w:bottom w:val="single" w:sz="4" w:space="0" w:color="auto"/>
              <w:right w:val="single" w:sz="8" w:space="0" w:color="auto"/>
            </w:tcBorders>
            <w:shd w:val="clear" w:color="auto" w:fill="auto"/>
            <w:noWrap/>
            <w:vAlign w:val="center"/>
            <w:hideMark/>
          </w:tcPr>
          <w:p w14:paraId="05C45B7A"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w:t>
            </w:r>
          </w:p>
        </w:tc>
        <w:tc>
          <w:tcPr>
            <w:tcW w:w="323" w:type="pct"/>
            <w:tcBorders>
              <w:top w:val="nil"/>
              <w:left w:val="nil"/>
              <w:bottom w:val="single" w:sz="8" w:space="0" w:color="auto"/>
              <w:right w:val="single" w:sz="8" w:space="0" w:color="auto"/>
            </w:tcBorders>
            <w:shd w:val="clear" w:color="000000" w:fill="FFFFFF"/>
            <w:noWrap/>
            <w:vAlign w:val="center"/>
            <w:hideMark/>
          </w:tcPr>
          <w:p w14:paraId="58F614C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73875494"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29C4A681"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single" w:sz="8" w:space="0" w:color="auto"/>
              <w:right w:val="single" w:sz="8" w:space="0" w:color="auto"/>
            </w:tcBorders>
            <w:shd w:val="clear" w:color="000000" w:fill="FFFFFF"/>
            <w:noWrap/>
            <w:vAlign w:val="center"/>
            <w:hideMark/>
          </w:tcPr>
          <w:p w14:paraId="78347CB3"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10A0D711"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r>
      <w:tr w:rsidR="007E2210" w:rsidRPr="007E2210" w14:paraId="31668E51" w14:textId="77777777" w:rsidTr="007E2210">
        <w:trPr>
          <w:trHeight w:val="304"/>
        </w:trPr>
        <w:tc>
          <w:tcPr>
            <w:tcW w:w="696" w:type="pct"/>
            <w:vMerge/>
            <w:tcBorders>
              <w:top w:val="nil"/>
              <w:left w:val="single" w:sz="8" w:space="0" w:color="auto"/>
              <w:bottom w:val="single" w:sz="8" w:space="0" w:color="000000"/>
              <w:right w:val="single" w:sz="8" w:space="0" w:color="auto"/>
            </w:tcBorders>
            <w:vAlign w:val="center"/>
            <w:hideMark/>
          </w:tcPr>
          <w:p w14:paraId="69020ADB"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4" w:space="0" w:color="auto"/>
              <w:right w:val="single" w:sz="4" w:space="0" w:color="auto"/>
            </w:tcBorders>
            <w:shd w:val="clear" w:color="auto" w:fill="auto"/>
            <w:noWrap/>
            <w:vAlign w:val="center"/>
            <w:hideMark/>
          </w:tcPr>
          <w:p w14:paraId="0E675D70" w14:textId="44C3AE81"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 xml:space="preserve">FI </w:t>
            </w:r>
            <w:r w:rsidR="00655C90" w:rsidRPr="007E2210">
              <w:rPr>
                <w:rFonts w:ascii="Calibri" w:eastAsia="Times New Roman" w:hAnsi="Calibri" w:cs="Calibri"/>
                <w:color w:val="000000"/>
                <w:sz w:val="16"/>
                <w:szCs w:val="16"/>
                <w:lang w:eastAsia="pt-BR"/>
              </w:rPr>
              <w:t>Constituídos</w:t>
            </w:r>
            <w:r w:rsidRPr="007E2210">
              <w:rPr>
                <w:rFonts w:ascii="Calibri" w:eastAsia="Times New Roman" w:hAnsi="Calibri" w:cs="Calibri"/>
                <w:color w:val="000000"/>
                <w:sz w:val="16"/>
                <w:szCs w:val="16"/>
                <w:lang w:eastAsia="pt-BR"/>
              </w:rPr>
              <w:t xml:space="preserve"> no Brasil - Investimentos no Exterior - Art. 9º, II</w:t>
            </w:r>
          </w:p>
        </w:tc>
        <w:tc>
          <w:tcPr>
            <w:tcW w:w="414" w:type="pct"/>
            <w:tcBorders>
              <w:top w:val="nil"/>
              <w:left w:val="nil"/>
              <w:bottom w:val="single" w:sz="4" w:space="0" w:color="auto"/>
              <w:right w:val="single" w:sz="8" w:space="0" w:color="auto"/>
            </w:tcBorders>
            <w:shd w:val="clear" w:color="auto" w:fill="auto"/>
            <w:noWrap/>
            <w:vAlign w:val="center"/>
            <w:hideMark/>
          </w:tcPr>
          <w:p w14:paraId="2E78380D"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w:t>
            </w:r>
          </w:p>
        </w:tc>
        <w:tc>
          <w:tcPr>
            <w:tcW w:w="323" w:type="pct"/>
            <w:tcBorders>
              <w:top w:val="nil"/>
              <w:left w:val="nil"/>
              <w:bottom w:val="single" w:sz="8" w:space="0" w:color="auto"/>
              <w:right w:val="single" w:sz="8" w:space="0" w:color="auto"/>
            </w:tcBorders>
            <w:shd w:val="clear" w:color="000000" w:fill="FFFFFF"/>
            <w:vAlign w:val="center"/>
            <w:hideMark/>
          </w:tcPr>
          <w:p w14:paraId="550B2490"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278679FC"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6D0291EF"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323" w:type="pct"/>
            <w:tcBorders>
              <w:top w:val="nil"/>
              <w:left w:val="nil"/>
              <w:bottom w:val="single" w:sz="8" w:space="0" w:color="auto"/>
              <w:right w:val="single" w:sz="8" w:space="0" w:color="auto"/>
            </w:tcBorders>
            <w:shd w:val="clear" w:color="000000" w:fill="FFFFFF"/>
            <w:vAlign w:val="center"/>
            <w:hideMark/>
          </w:tcPr>
          <w:p w14:paraId="16A5726A"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64231842"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r>
      <w:tr w:rsidR="007E2210" w:rsidRPr="007E2210" w14:paraId="5065A5B4" w14:textId="77777777" w:rsidTr="007E2210">
        <w:trPr>
          <w:trHeight w:val="304"/>
        </w:trPr>
        <w:tc>
          <w:tcPr>
            <w:tcW w:w="696" w:type="pct"/>
            <w:vMerge/>
            <w:tcBorders>
              <w:top w:val="nil"/>
              <w:left w:val="single" w:sz="8" w:space="0" w:color="auto"/>
              <w:bottom w:val="single" w:sz="8" w:space="0" w:color="000000"/>
              <w:right w:val="single" w:sz="8" w:space="0" w:color="auto"/>
            </w:tcBorders>
            <w:vAlign w:val="center"/>
            <w:hideMark/>
          </w:tcPr>
          <w:p w14:paraId="466E9A4F" w14:textId="77777777" w:rsidR="007E2210" w:rsidRPr="007E2210" w:rsidRDefault="007E2210" w:rsidP="007E2210">
            <w:pPr>
              <w:spacing w:after="0" w:line="240" w:lineRule="auto"/>
              <w:jc w:val="left"/>
              <w:rPr>
                <w:rFonts w:ascii="Calibri" w:eastAsia="Times New Roman" w:hAnsi="Calibri" w:cs="Calibri"/>
                <w:b/>
                <w:bCs/>
                <w:color w:val="000000"/>
                <w:sz w:val="18"/>
                <w:szCs w:val="18"/>
                <w:lang w:eastAsia="pt-BR"/>
              </w:rPr>
            </w:pPr>
          </w:p>
        </w:tc>
        <w:tc>
          <w:tcPr>
            <w:tcW w:w="2123" w:type="pct"/>
            <w:tcBorders>
              <w:top w:val="nil"/>
              <w:left w:val="nil"/>
              <w:bottom w:val="single" w:sz="8" w:space="0" w:color="auto"/>
              <w:right w:val="single" w:sz="4" w:space="0" w:color="auto"/>
            </w:tcBorders>
            <w:shd w:val="clear" w:color="auto" w:fill="auto"/>
            <w:noWrap/>
            <w:vAlign w:val="center"/>
            <w:hideMark/>
          </w:tcPr>
          <w:p w14:paraId="1C229D39"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FI em Ações BDR Nível I -  - Art. 9º, III</w:t>
            </w:r>
          </w:p>
        </w:tc>
        <w:tc>
          <w:tcPr>
            <w:tcW w:w="414" w:type="pct"/>
            <w:tcBorders>
              <w:top w:val="nil"/>
              <w:left w:val="nil"/>
              <w:bottom w:val="single" w:sz="8" w:space="0" w:color="auto"/>
              <w:right w:val="single" w:sz="8" w:space="0" w:color="auto"/>
            </w:tcBorders>
            <w:shd w:val="clear" w:color="auto" w:fill="auto"/>
            <w:noWrap/>
            <w:vAlign w:val="center"/>
            <w:hideMark/>
          </w:tcPr>
          <w:p w14:paraId="76F642FC"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10,00%</w:t>
            </w:r>
          </w:p>
        </w:tc>
        <w:tc>
          <w:tcPr>
            <w:tcW w:w="323" w:type="pct"/>
            <w:tcBorders>
              <w:top w:val="nil"/>
              <w:left w:val="nil"/>
              <w:bottom w:val="single" w:sz="8" w:space="0" w:color="auto"/>
              <w:right w:val="single" w:sz="8" w:space="0" w:color="auto"/>
            </w:tcBorders>
            <w:shd w:val="clear" w:color="000000" w:fill="FFFFFF"/>
            <w:vAlign w:val="center"/>
            <w:hideMark/>
          </w:tcPr>
          <w:p w14:paraId="6074AEFD"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406" w:type="pct"/>
            <w:tcBorders>
              <w:top w:val="nil"/>
              <w:left w:val="nil"/>
              <w:bottom w:val="single" w:sz="8" w:space="0" w:color="auto"/>
              <w:right w:val="single" w:sz="8" w:space="0" w:color="auto"/>
            </w:tcBorders>
            <w:shd w:val="clear" w:color="000000" w:fill="FFFFFF"/>
            <w:vAlign w:val="center"/>
            <w:hideMark/>
          </w:tcPr>
          <w:p w14:paraId="7769FA0C"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4,60%</w:t>
            </w:r>
          </w:p>
        </w:tc>
        <w:tc>
          <w:tcPr>
            <w:tcW w:w="358" w:type="pct"/>
            <w:tcBorders>
              <w:top w:val="nil"/>
              <w:left w:val="nil"/>
              <w:bottom w:val="single" w:sz="8" w:space="0" w:color="auto"/>
              <w:right w:val="single" w:sz="8" w:space="0" w:color="auto"/>
            </w:tcBorders>
            <w:shd w:val="clear" w:color="000000" w:fill="FFFFFF"/>
            <w:vAlign w:val="center"/>
            <w:hideMark/>
          </w:tcPr>
          <w:p w14:paraId="37AA8BE8"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c>
          <w:tcPr>
            <w:tcW w:w="323" w:type="pct"/>
            <w:tcBorders>
              <w:top w:val="nil"/>
              <w:left w:val="nil"/>
              <w:bottom w:val="single" w:sz="8" w:space="0" w:color="auto"/>
              <w:right w:val="single" w:sz="8" w:space="0" w:color="auto"/>
            </w:tcBorders>
            <w:shd w:val="clear" w:color="000000" w:fill="FFFFFF"/>
            <w:vAlign w:val="center"/>
            <w:hideMark/>
          </w:tcPr>
          <w:p w14:paraId="24C60C5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0,00%</w:t>
            </w:r>
          </w:p>
        </w:tc>
        <w:tc>
          <w:tcPr>
            <w:tcW w:w="358" w:type="pct"/>
            <w:tcBorders>
              <w:top w:val="nil"/>
              <w:left w:val="nil"/>
              <w:bottom w:val="single" w:sz="8" w:space="0" w:color="auto"/>
              <w:right w:val="single" w:sz="8" w:space="0" w:color="auto"/>
            </w:tcBorders>
            <w:shd w:val="clear" w:color="000000" w:fill="FFFFFF"/>
            <w:vAlign w:val="center"/>
            <w:hideMark/>
          </w:tcPr>
          <w:p w14:paraId="5CD41CE7" w14:textId="77777777" w:rsidR="007E2210" w:rsidRPr="007E2210" w:rsidRDefault="007E2210" w:rsidP="007E2210">
            <w:pPr>
              <w:spacing w:after="0" w:line="240" w:lineRule="auto"/>
              <w:jc w:val="center"/>
              <w:rPr>
                <w:rFonts w:ascii="Calibri" w:eastAsia="Times New Roman" w:hAnsi="Calibri" w:cs="Calibri"/>
                <w:color w:val="000000"/>
                <w:sz w:val="14"/>
                <w:szCs w:val="14"/>
                <w:lang w:eastAsia="pt-BR"/>
              </w:rPr>
            </w:pPr>
            <w:r w:rsidRPr="007E2210">
              <w:rPr>
                <w:rFonts w:ascii="Calibri" w:eastAsia="Times New Roman" w:hAnsi="Calibri" w:cs="Calibri"/>
                <w:color w:val="000000"/>
                <w:sz w:val="14"/>
                <w:szCs w:val="14"/>
                <w:lang w:eastAsia="pt-BR"/>
              </w:rPr>
              <w:t>10,00%</w:t>
            </w:r>
          </w:p>
        </w:tc>
      </w:tr>
      <w:tr w:rsidR="007E2210" w:rsidRPr="007E2210" w14:paraId="7A233EC3" w14:textId="77777777" w:rsidTr="007E2210">
        <w:trPr>
          <w:trHeight w:val="304"/>
        </w:trPr>
        <w:tc>
          <w:tcPr>
            <w:tcW w:w="696" w:type="pct"/>
            <w:tcBorders>
              <w:top w:val="nil"/>
              <w:left w:val="nil"/>
              <w:bottom w:val="nil"/>
              <w:right w:val="nil"/>
            </w:tcBorders>
            <w:shd w:val="clear" w:color="auto" w:fill="auto"/>
            <w:noWrap/>
            <w:vAlign w:val="bottom"/>
            <w:hideMark/>
          </w:tcPr>
          <w:p w14:paraId="6692D7C9"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c>
          <w:tcPr>
            <w:tcW w:w="2123" w:type="pct"/>
            <w:tcBorders>
              <w:top w:val="nil"/>
              <w:left w:val="single" w:sz="8" w:space="0" w:color="auto"/>
              <w:bottom w:val="single" w:sz="8" w:space="0" w:color="auto"/>
              <w:right w:val="single" w:sz="4" w:space="0" w:color="auto"/>
            </w:tcBorders>
            <w:shd w:val="clear" w:color="000000" w:fill="D9D9D9"/>
            <w:noWrap/>
            <w:vAlign w:val="center"/>
            <w:hideMark/>
          </w:tcPr>
          <w:p w14:paraId="2A6D1B5A" w14:textId="77777777" w:rsidR="007E2210" w:rsidRPr="007E2210" w:rsidRDefault="007E2210" w:rsidP="007E2210">
            <w:pPr>
              <w:spacing w:after="0" w:line="240" w:lineRule="auto"/>
              <w:jc w:val="left"/>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Limite de Investimentos no Exterior</w:t>
            </w:r>
          </w:p>
        </w:tc>
        <w:tc>
          <w:tcPr>
            <w:tcW w:w="414" w:type="pct"/>
            <w:tcBorders>
              <w:top w:val="nil"/>
              <w:left w:val="nil"/>
              <w:bottom w:val="single" w:sz="8" w:space="0" w:color="auto"/>
              <w:right w:val="single" w:sz="8" w:space="0" w:color="auto"/>
            </w:tcBorders>
            <w:shd w:val="clear" w:color="000000" w:fill="D9D9D9"/>
            <w:noWrap/>
            <w:vAlign w:val="center"/>
            <w:hideMark/>
          </w:tcPr>
          <w:p w14:paraId="36BF23A9"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10,00%</w:t>
            </w:r>
          </w:p>
        </w:tc>
        <w:tc>
          <w:tcPr>
            <w:tcW w:w="323" w:type="pct"/>
            <w:tcBorders>
              <w:top w:val="nil"/>
              <w:left w:val="nil"/>
              <w:bottom w:val="single" w:sz="8" w:space="0" w:color="auto"/>
              <w:right w:val="single" w:sz="4" w:space="0" w:color="auto"/>
            </w:tcBorders>
            <w:shd w:val="clear" w:color="000000" w:fill="D9D9D9"/>
            <w:noWrap/>
            <w:vAlign w:val="center"/>
            <w:hideMark/>
          </w:tcPr>
          <w:p w14:paraId="5DC7EDAC"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0,00%</w:t>
            </w:r>
          </w:p>
        </w:tc>
        <w:tc>
          <w:tcPr>
            <w:tcW w:w="406" w:type="pct"/>
            <w:tcBorders>
              <w:top w:val="nil"/>
              <w:left w:val="nil"/>
              <w:bottom w:val="single" w:sz="8" w:space="0" w:color="auto"/>
              <w:right w:val="single" w:sz="4" w:space="0" w:color="auto"/>
            </w:tcBorders>
            <w:shd w:val="clear" w:color="000000" w:fill="D9D9D9"/>
            <w:noWrap/>
            <w:vAlign w:val="center"/>
            <w:hideMark/>
          </w:tcPr>
          <w:p w14:paraId="59F5D32C"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4,60%</w:t>
            </w:r>
          </w:p>
        </w:tc>
        <w:tc>
          <w:tcPr>
            <w:tcW w:w="358" w:type="pct"/>
            <w:tcBorders>
              <w:top w:val="nil"/>
              <w:left w:val="nil"/>
              <w:bottom w:val="single" w:sz="8" w:space="0" w:color="auto"/>
              <w:right w:val="single" w:sz="8" w:space="0" w:color="auto"/>
            </w:tcBorders>
            <w:shd w:val="clear" w:color="000000" w:fill="D9D9D9"/>
            <w:noWrap/>
            <w:vAlign w:val="center"/>
            <w:hideMark/>
          </w:tcPr>
          <w:p w14:paraId="46B32A35"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20,00%</w:t>
            </w:r>
          </w:p>
        </w:tc>
        <w:tc>
          <w:tcPr>
            <w:tcW w:w="323" w:type="pct"/>
            <w:tcBorders>
              <w:top w:val="nil"/>
              <w:left w:val="nil"/>
              <w:bottom w:val="single" w:sz="8" w:space="0" w:color="auto"/>
              <w:right w:val="single" w:sz="4" w:space="0" w:color="auto"/>
            </w:tcBorders>
            <w:shd w:val="clear" w:color="000000" w:fill="D9D9D9"/>
            <w:noWrap/>
            <w:vAlign w:val="center"/>
            <w:hideMark/>
          </w:tcPr>
          <w:p w14:paraId="62670A52"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D9D9D9"/>
            <w:noWrap/>
            <w:vAlign w:val="center"/>
            <w:hideMark/>
          </w:tcPr>
          <w:p w14:paraId="2603C82D"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20,00%</w:t>
            </w:r>
          </w:p>
        </w:tc>
      </w:tr>
      <w:tr w:rsidR="007E2210" w:rsidRPr="007E2210" w14:paraId="7740AC00" w14:textId="77777777" w:rsidTr="007E2210">
        <w:trPr>
          <w:trHeight w:val="304"/>
        </w:trPr>
        <w:tc>
          <w:tcPr>
            <w:tcW w:w="69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52BA591"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Consignado</w:t>
            </w:r>
          </w:p>
        </w:tc>
        <w:tc>
          <w:tcPr>
            <w:tcW w:w="2123" w:type="pct"/>
            <w:tcBorders>
              <w:top w:val="nil"/>
              <w:left w:val="nil"/>
              <w:bottom w:val="single" w:sz="8" w:space="0" w:color="auto"/>
              <w:right w:val="single" w:sz="4" w:space="0" w:color="auto"/>
            </w:tcBorders>
            <w:shd w:val="clear" w:color="auto" w:fill="auto"/>
            <w:noWrap/>
            <w:vAlign w:val="center"/>
            <w:hideMark/>
          </w:tcPr>
          <w:p w14:paraId="667B86B6" w14:textId="0647223A" w:rsidR="007E2210" w:rsidRPr="007E2210" w:rsidRDefault="00655C9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Empréstimo</w:t>
            </w:r>
            <w:r w:rsidR="007E2210" w:rsidRPr="007E2210">
              <w:rPr>
                <w:rFonts w:ascii="Calibri" w:eastAsia="Times New Roman" w:hAnsi="Calibri" w:cs="Calibri"/>
                <w:color w:val="000000"/>
                <w:sz w:val="16"/>
                <w:szCs w:val="16"/>
                <w:lang w:eastAsia="pt-BR"/>
              </w:rPr>
              <w:t xml:space="preserve"> Consignado - Art. 12</w:t>
            </w:r>
          </w:p>
        </w:tc>
        <w:tc>
          <w:tcPr>
            <w:tcW w:w="414" w:type="pct"/>
            <w:tcBorders>
              <w:top w:val="nil"/>
              <w:left w:val="nil"/>
              <w:bottom w:val="single" w:sz="8" w:space="0" w:color="auto"/>
              <w:right w:val="single" w:sz="8" w:space="0" w:color="auto"/>
            </w:tcBorders>
            <w:shd w:val="clear" w:color="auto" w:fill="auto"/>
            <w:noWrap/>
            <w:vAlign w:val="center"/>
            <w:hideMark/>
          </w:tcPr>
          <w:p w14:paraId="2BEBE88F"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5,00%</w:t>
            </w:r>
          </w:p>
        </w:tc>
        <w:tc>
          <w:tcPr>
            <w:tcW w:w="323" w:type="pct"/>
            <w:tcBorders>
              <w:top w:val="nil"/>
              <w:left w:val="nil"/>
              <w:bottom w:val="single" w:sz="8" w:space="0" w:color="auto"/>
              <w:right w:val="single" w:sz="8" w:space="0" w:color="auto"/>
            </w:tcBorders>
            <w:shd w:val="clear" w:color="000000" w:fill="FFFFFF"/>
            <w:noWrap/>
            <w:vAlign w:val="center"/>
            <w:hideMark/>
          </w:tcPr>
          <w:p w14:paraId="144573C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406" w:type="pct"/>
            <w:tcBorders>
              <w:top w:val="nil"/>
              <w:left w:val="nil"/>
              <w:bottom w:val="single" w:sz="8" w:space="0" w:color="auto"/>
              <w:right w:val="single" w:sz="8" w:space="0" w:color="auto"/>
            </w:tcBorders>
            <w:shd w:val="clear" w:color="000000" w:fill="FFFFFF"/>
            <w:noWrap/>
            <w:vAlign w:val="center"/>
            <w:hideMark/>
          </w:tcPr>
          <w:p w14:paraId="4776FA6C" w14:textId="6680B64E"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r w:rsidR="007E2210" w:rsidRPr="007E2210">
              <w:rPr>
                <w:rFonts w:ascii="Calibri" w:eastAsia="Times New Roman" w:hAnsi="Calibri" w:cs="Calibri"/>
                <w:color w:val="000000"/>
                <w:sz w:val="16"/>
                <w:szCs w:val="16"/>
                <w:lang w:eastAsia="pt-BR"/>
              </w:rPr>
              <w:t>,00%</w:t>
            </w:r>
          </w:p>
        </w:tc>
        <w:tc>
          <w:tcPr>
            <w:tcW w:w="358" w:type="pct"/>
            <w:tcBorders>
              <w:top w:val="nil"/>
              <w:left w:val="nil"/>
              <w:bottom w:val="single" w:sz="8" w:space="0" w:color="auto"/>
              <w:right w:val="single" w:sz="8" w:space="0" w:color="auto"/>
            </w:tcBorders>
            <w:shd w:val="clear" w:color="000000" w:fill="FFFFFF"/>
            <w:noWrap/>
            <w:vAlign w:val="center"/>
            <w:hideMark/>
          </w:tcPr>
          <w:p w14:paraId="3A71E15E" w14:textId="779D08ED"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5</w:t>
            </w:r>
            <w:r w:rsidR="007E2210" w:rsidRPr="007E2210">
              <w:rPr>
                <w:rFonts w:ascii="Calibri" w:eastAsia="Times New Roman" w:hAnsi="Calibri" w:cs="Calibri"/>
                <w:color w:val="000000"/>
                <w:sz w:val="16"/>
                <w:szCs w:val="16"/>
                <w:lang w:eastAsia="pt-BR"/>
              </w:rPr>
              <w:t>,00%</w:t>
            </w:r>
          </w:p>
        </w:tc>
        <w:tc>
          <w:tcPr>
            <w:tcW w:w="323" w:type="pct"/>
            <w:tcBorders>
              <w:top w:val="nil"/>
              <w:left w:val="nil"/>
              <w:bottom w:val="single" w:sz="8" w:space="0" w:color="auto"/>
              <w:right w:val="single" w:sz="8" w:space="0" w:color="auto"/>
            </w:tcBorders>
            <w:shd w:val="clear" w:color="000000" w:fill="FFFFFF"/>
            <w:noWrap/>
            <w:vAlign w:val="center"/>
            <w:hideMark/>
          </w:tcPr>
          <w:p w14:paraId="3DDFAEB6"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58" w:type="pct"/>
            <w:tcBorders>
              <w:top w:val="nil"/>
              <w:left w:val="nil"/>
              <w:bottom w:val="single" w:sz="8" w:space="0" w:color="auto"/>
              <w:right w:val="single" w:sz="8" w:space="0" w:color="auto"/>
            </w:tcBorders>
            <w:shd w:val="clear" w:color="000000" w:fill="FFFFFF"/>
            <w:noWrap/>
            <w:vAlign w:val="center"/>
            <w:hideMark/>
          </w:tcPr>
          <w:p w14:paraId="493E549B" w14:textId="6FD02718" w:rsidR="007E2210" w:rsidRPr="007E2210" w:rsidRDefault="00D66461" w:rsidP="007E2210">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5</w:t>
            </w:r>
            <w:r w:rsidR="007E2210" w:rsidRPr="007E2210">
              <w:rPr>
                <w:rFonts w:ascii="Calibri" w:eastAsia="Times New Roman" w:hAnsi="Calibri" w:cs="Calibri"/>
                <w:color w:val="000000"/>
                <w:sz w:val="16"/>
                <w:szCs w:val="16"/>
                <w:lang w:eastAsia="pt-BR"/>
              </w:rPr>
              <w:t>,00%</w:t>
            </w:r>
          </w:p>
        </w:tc>
      </w:tr>
      <w:tr w:rsidR="007E2210" w:rsidRPr="007E2210" w14:paraId="207F24E7" w14:textId="77777777" w:rsidTr="007E2210">
        <w:trPr>
          <w:trHeight w:val="302"/>
        </w:trPr>
        <w:tc>
          <w:tcPr>
            <w:tcW w:w="696" w:type="pct"/>
            <w:tcBorders>
              <w:top w:val="nil"/>
              <w:left w:val="nil"/>
              <w:bottom w:val="nil"/>
              <w:right w:val="nil"/>
            </w:tcBorders>
            <w:shd w:val="clear" w:color="auto" w:fill="auto"/>
            <w:noWrap/>
            <w:vAlign w:val="bottom"/>
            <w:hideMark/>
          </w:tcPr>
          <w:p w14:paraId="07137935"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p>
        </w:tc>
        <w:tc>
          <w:tcPr>
            <w:tcW w:w="2536"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11DADD0"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Total da Carteira de Investimentos</w:t>
            </w:r>
          </w:p>
        </w:tc>
        <w:tc>
          <w:tcPr>
            <w:tcW w:w="323" w:type="pct"/>
            <w:tcBorders>
              <w:top w:val="nil"/>
              <w:left w:val="nil"/>
              <w:bottom w:val="single" w:sz="8" w:space="0" w:color="auto"/>
              <w:right w:val="single" w:sz="4" w:space="0" w:color="auto"/>
            </w:tcBorders>
            <w:shd w:val="clear" w:color="000000" w:fill="D9D9D9"/>
            <w:noWrap/>
            <w:vAlign w:val="center"/>
            <w:hideMark/>
          </w:tcPr>
          <w:p w14:paraId="3AA1C9F2"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36,71%</w:t>
            </w:r>
          </w:p>
        </w:tc>
        <w:tc>
          <w:tcPr>
            <w:tcW w:w="406" w:type="pct"/>
            <w:tcBorders>
              <w:top w:val="nil"/>
              <w:left w:val="nil"/>
              <w:bottom w:val="single" w:sz="8" w:space="0" w:color="auto"/>
              <w:right w:val="single" w:sz="4" w:space="0" w:color="auto"/>
            </w:tcBorders>
            <w:shd w:val="clear" w:color="000000" w:fill="D9D9D9"/>
            <w:noWrap/>
            <w:vAlign w:val="center"/>
            <w:hideMark/>
          </w:tcPr>
          <w:p w14:paraId="6BCD2A65"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100,00%</w:t>
            </w:r>
          </w:p>
        </w:tc>
        <w:tc>
          <w:tcPr>
            <w:tcW w:w="358" w:type="pct"/>
            <w:tcBorders>
              <w:top w:val="nil"/>
              <w:left w:val="nil"/>
              <w:bottom w:val="single" w:sz="8" w:space="0" w:color="auto"/>
              <w:right w:val="single" w:sz="8" w:space="0" w:color="auto"/>
            </w:tcBorders>
            <w:shd w:val="clear" w:color="000000" w:fill="D9D9D9"/>
            <w:noWrap/>
            <w:vAlign w:val="center"/>
            <w:hideMark/>
          </w:tcPr>
          <w:p w14:paraId="38E04A98" w14:textId="6D12CBE2" w:rsidR="007E2210" w:rsidRPr="007E2210" w:rsidRDefault="00D66461" w:rsidP="00D66461">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282</w:t>
            </w:r>
            <w:r w:rsidR="007E2210" w:rsidRPr="007E2210">
              <w:rPr>
                <w:rFonts w:ascii="Calibri" w:eastAsia="Times New Roman" w:hAnsi="Calibri" w:cs="Calibri"/>
                <w:b/>
                <w:bCs/>
                <w:color w:val="000000"/>
                <w:sz w:val="16"/>
                <w:szCs w:val="16"/>
                <w:lang w:eastAsia="pt-BR"/>
              </w:rPr>
              <w:t>,00%</w:t>
            </w:r>
          </w:p>
        </w:tc>
        <w:tc>
          <w:tcPr>
            <w:tcW w:w="323" w:type="pct"/>
            <w:tcBorders>
              <w:top w:val="nil"/>
              <w:left w:val="nil"/>
              <w:bottom w:val="single" w:sz="8" w:space="0" w:color="auto"/>
              <w:right w:val="single" w:sz="4" w:space="0" w:color="auto"/>
            </w:tcBorders>
            <w:shd w:val="clear" w:color="000000" w:fill="D9D9D9"/>
            <w:noWrap/>
            <w:vAlign w:val="center"/>
            <w:hideMark/>
          </w:tcPr>
          <w:p w14:paraId="0F9A8443" w14:textId="77777777" w:rsidR="007E2210" w:rsidRPr="007E2210" w:rsidRDefault="007E2210" w:rsidP="007E2210">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36,71%</w:t>
            </w:r>
          </w:p>
        </w:tc>
        <w:tc>
          <w:tcPr>
            <w:tcW w:w="358" w:type="pct"/>
            <w:tcBorders>
              <w:top w:val="nil"/>
              <w:left w:val="nil"/>
              <w:bottom w:val="single" w:sz="8" w:space="0" w:color="auto"/>
              <w:right w:val="single" w:sz="8" w:space="0" w:color="auto"/>
            </w:tcBorders>
            <w:shd w:val="clear" w:color="000000" w:fill="D9D9D9"/>
            <w:noWrap/>
            <w:vAlign w:val="center"/>
            <w:hideMark/>
          </w:tcPr>
          <w:p w14:paraId="35D0A60E" w14:textId="64D25A43" w:rsidR="007E2210" w:rsidRPr="007E2210" w:rsidRDefault="007E2210" w:rsidP="00D66461">
            <w:pPr>
              <w:spacing w:after="0" w:line="240" w:lineRule="auto"/>
              <w:jc w:val="center"/>
              <w:rPr>
                <w:rFonts w:ascii="Calibri" w:eastAsia="Times New Roman" w:hAnsi="Calibri" w:cs="Calibri"/>
                <w:b/>
                <w:bCs/>
                <w:color w:val="000000"/>
                <w:sz w:val="16"/>
                <w:szCs w:val="16"/>
                <w:lang w:eastAsia="pt-BR"/>
              </w:rPr>
            </w:pPr>
            <w:r w:rsidRPr="007E2210">
              <w:rPr>
                <w:rFonts w:ascii="Calibri" w:eastAsia="Times New Roman" w:hAnsi="Calibri" w:cs="Calibri"/>
                <w:b/>
                <w:bCs/>
                <w:color w:val="000000"/>
                <w:sz w:val="16"/>
                <w:szCs w:val="16"/>
                <w:lang w:eastAsia="pt-BR"/>
              </w:rPr>
              <w:t>2</w:t>
            </w:r>
            <w:r w:rsidR="00D66461">
              <w:rPr>
                <w:rFonts w:ascii="Calibri" w:eastAsia="Times New Roman" w:hAnsi="Calibri" w:cs="Calibri"/>
                <w:b/>
                <w:bCs/>
                <w:color w:val="000000"/>
                <w:sz w:val="16"/>
                <w:szCs w:val="16"/>
                <w:lang w:eastAsia="pt-BR"/>
              </w:rPr>
              <w:t>82</w:t>
            </w:r>
            <w:r w:rsidRPr="007E2210">
              <w:rPr>
                <w:rFonts w:ascii="Calibri" w:eastAsia="Times New Roman" w:hAnsi="Calibri" w:cs="Calibri"/>
                <w:b/>
                <w:bCs/>
                <w:color w:val="000000"/>
                <w:sz w:val="16"/>
                <w:szCs w:val="16"/>
                <w:lang w:eastAsia="pt-BR"/>
              </w:rPr>
              <w:t>,00%</w:t>
            </w:r>
          </w:p>
        </w:tc>
      </w:tr>
      <w:tr w:rsidR="007E2210" w:rsidRPr="007E2210" w14:paraId="66E6707C" w14:textId="77777777" w:rsidTr="007E2210">
        <w:trPr>
          <w:trHeight w:val="304"/>
        </w:trPr>
        <w:tc>
          <w:tcPr>
            <w:tcW w:w="69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8B78623" w14:textId="77777777" w:rsidR="007E2210" w:rsidRPr="007E2210" w:rsidRDefault="007E2210" w:rsidP="007E2210">
            <w:pPr>
              <w:spacing w:after="0" w:line="240" w:lineRule="auto"/>
              <w:jc w:val="center"/>
              <w:rPr>
                <w:rFonts w:ascii="Calibri" w:eastAsia="Times New Roman" w:hAnsi="Calibri" w:cs="Calibri"/>
                <w:b/>
                <w:bCs/>
                <w:color w:val="000000"/>
                <w:sz w:val="18"/>
                <w:szCs w:val="18"/>
                <w:lang w:eastAsia="pt-BR"/>
              </w:rPr>
            </w:pPr>
            <w:r w:rsidRPr="007E2210">
              <w:rPr>
                <w:rFonts w:ascii="Calibri" w:eastAsia="Times New Roman" w:hAnsi="Calibri" w:cs="Calibri"/>
                <w:b/>
                <w:bCs/>
                <w:color w:val="000000"/>
                <w:sz w:val="18"/>
                <w:szCs w:val="18"/>
                <w:lang w:eastAsia="pt-BR"/>
              </w:rPr>
              <w:t>Disponibilidades</w:t>
            </w:r>
          </w:p>
        </w:tc>
        <w:tc>
          <w:tcPr>
            <w:tcW w:w="2123" w:type="pct"/>
            <w:tcBorders>
              <w:top w:val="nil"/>
              <w:left w:val="nil"/>
              <w:bottom w:val="single" w:sz="4" w:space="0" w:color="auto"/>
              <w:right w:val="single" w:sz="4" w:space="0" w:color="auto"/>
            </w:tcBorders>
            <w:shd w:val="clear" w:color="auto" w:fill="auto"/>
            <w:noWrap/>
            <w:vAlign w:val="center"/>
            <w:hideMark/>
          </w:tcPr>
          <w:p w14:paraId="43A1CCD9" w14:textId="77777777" w:rsidR="007E2210" w:rsidRPr="007E2210" w:rsidRDefault="007E2210" w:rsidP="007E2210">
            <w:pPr>
              <w:spacing w:after="0" w:line="240" w:lineRule="auto"/>
              <w:jc w:val="left"/>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Disponibilidades Financeiras - Art. 20</w:t>
            </w:r>
          </w:p>
        </w:tc>
        <w:tc>
          <w:tcPr>
            <w:tcW w:w="414" w:type="pct"/>
            <w:tcBorders>
              <w:top w:val="nil"/>
              <w:left w:val="nil"/>
              <w:bottom w:val="single" w:sz="4" w:space="0" w:color="auto"/>
              <w:right w:val="single" w:sz="8" w:space="0" w:color="auto"/>
            </w:tcBorders>
            <w:shd w:val="clear" w:color="auto" w:fill="auto"/>
            <w:noWrap/>
            <w:vAlign w:val="center"/>
            <w:hideMark/>
          </w:tcPr>
          <w:p w14:paraId="313C7C65" w14:textId="77777777" w:rsidR="007E2210" w:rsidRPr="007E2210" w:rsidRDefault="007E2210" w:rsidP="007E2210">
            <w:pPr>
              <w:spacing w:after="0" w:line="240" w:lineRule="auto"/>
              <w:jc w:val="center"/>
              <w:rPr>
                <w:rFonts w:ascii="Calibri" w:eastAsia="Times New Roman" w:hAnsi="Calibri" w:cs="Calibri"/>
                <w:color w:val="000000"/>
                <w:sz w:val="16"/>
                <w:szCs w:val="16"/>
                <w:lang w:eastAsia="pt-BR"/>
              </w:rPr>
            </w:pPr>
            <w:r w:rsidRPr="007E2210">
              <w:rPr>
                <w:rFonts w:ascii="Calibri" w:eastAsia="Times New Roman" w:hAnsi="Calibri" w:cs="Calibri"/>
                <w:color w:val="000000"/>
                <w:sz w:val="16"/>
                <w:szCs w:val="16"/>
                <w:lang w:eastAsia="pt-BR"/>
              </w:rPr>
              <w:t>0,00%</w:t>
            </w:r>
          </w:p>
        </w:tc>
        <w:tc>
          <w:tcPr>
            <w:tcW w:w="323" w:type="pct"/>
            <w:tcBorders>
              <w:top w:val="nil"/>
              <w:left w:val="nil"/>
              <w:bottom w:val="nil"/>
              <w:right w:val="nil"/>
            </w:tcBorders>
            <w:shd w:val="clear" w:color="auto" w:fill="auto"/>
            <w:noWrap/>
            <w:vAlign w:val="bottom"/>
            <w:hideMark/>
          </w:tcPr>
          <w:p w14:paraId="787D072E"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c>
          <w:tcPr>
            <w:tcW w:w="406" w:type="pct"/>
            <w:tcBorders>
              <w:top w:val="nil"/>
              <w:left w:val="nil"/>
              <w:bottom w:val="nil"/>
              <w:right w:val="nil"/>
            </w:tcBorders>
            <w:shd w:val="clear" w:color="auto" w:fill="auto"/>
            <w:noWrap/>
            <w:vAlign w:val="bottom"/>
            <w:hideMark/>
          </w:tcPr>
          <w:p w14:paraId="6F895D67"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c>
          <w:tcPr>
            <w:tcW w:w="358" w:type="pct"/>
            <w:tcBorders>
              <w:top w:val="nil"/>
              <w:left w:val="nil"/>
              <w:bottom w:val="nil"/>
              <w:right w:val="nil"/>
            </w:tcBorders>
            <w:shd w:val="clear" w:color="auto" w:fill="auto"/>
            <w:noWrap/>
            <w:vAlign w:val="bottom"/>
            <w:hideMark/>
          </w:tcPr>
          <w:p w14:paraId="03D135A1"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c>
          <w:tcPr>
            <w:tcW w:w="323" w:type="pct"/>
            <w:tcBorders>
              <w:top w:val="nil"/>
              <w:left w:val="nil"/>
              <w:bottom w:val="nil"/>
              <w:right w:val="nil"/>
            </w:tcBorders>
            <w:shd w:val="clear" w:color="auto" w:fill="auto"/>
            <w:noWrap/>
            <w:vAlign w:val="bottom"/>
            <w:hideMark/>
          </w:tcPr>
          <w:p w14:paraId="0C0302AF"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c>
          <w:tcPr>
            <w:tcW w:w="358" w:type="pct"/>
            <w:tcBorders>
              <w:top w:val="nil"/>
              <w:left w:val="nil"/>
              <w:bottom w:val="nil"/>
              <w:right w:val="nil"/>
            </w:tcBorders>
            <w:shd w:val="clear" w:color="auto" w:fill="auto"/>
            <w:noWrap/>
            <w:vAlign w:val="bottom"/>
            <w:hideMark/>
          </w:tcPr>
          <w:p w14:paraId="6A8AB8F5" w14:textId="77777777" w:rsidR="007E2210" w:rsidRPr="007E2210" w:rsidRDefault="007E2210" w:rsidP="007E2210">
            <w:pPr>
              <w:spacing w:after="0" w:line="240" w:lineRule="auto"/>
              <w:jc w:val="left"/>
              <w:rPr>
                <w:rFonts w:ascii="Calibri" w:eastAsia="Times New Roman" w:hAnsi="Calibri" w:cs="Calibri"/>
                <w:color w:val="000000"/>
                <w:sz w:val="24"/>
                <w:szCs w:val="24"/>
                <w:lang w:eastAsia="pt-BR"/>
              </w:rPr>
            </w:pPr>
          </w:p>
        </w:tc>
      </w:tr>
    </w:tbl>
    <w:p w14:paraId="0AD4BB8D" w14:textId="3CFF71A5" w:rsidR="009E1812" w:rsidRPr="00A22044" w:rsidRDefault="009E1812" w:rsidP="00B62B8E">
      <w:pPr>
        <w:rPr>
          <w:color w:val="auto"/>
        </w:rPr>
      </w:pPr>
      <w:r w:rsidRPr="00A22044">
        <w:rPr>
          <w:color w:val="auto"/>
        </w:rPr>
        <w:lastRenderedPageBreak/>
        <w:t xml:space="preserve">O </w:t>
      </w:r>
      <w:r w:rsidR="00655C90" w:rsidRPr="00A22044">
        <w:rPr>
          <w:bCs/>
          <w:color w:val="auto"/>
          <w:szCs w:val="20"/>
        </w:rPr>
        <w:t>Instituto de Previdência dos Servidores Públicos do Município de Pitangueiras – PITANPREV</w:t>
      </w:r>
      <w:r w:rsidRPr="00A22044">
        <w:rPr>
          <w:color w:val="auto"/>
        </w:rPr>
        <w:t xml:space="preserve"> considera os limites apresentados no resultado do estudo técnico elaborado através das reservas técnicas atuariais e as reservas matemáticas</w:t>
      </w:r>
      <w:r w:rsidR="00AD34A3" w:rsidRPr="00A22044">
        <w:rPr>
          <w:color w:val="auto"/>
        </w:rPr>
        <w:t xml:space="preserve"> </w:t>
      </w:r>
      <w:r w:rsidRPr="00A22044">
        <w:rPr>
          <w:color w:val="auto"/>
        </w:rPr>
        <w:t>projetadas pelo cálculo atuarial o que pode exigir maior flexibilidade nos níveis de liquidez da carteira</w:t>
      </w:r>
      <w:r w:rsidR="00AD34A3" w:rsidRPr="00A22044">
        <w:rPr>
          <w:color w:val="auto"/>
        </w:rPr>
        <w:t xml:space="preserve"> de investimentos</w:t>
      </w:r>
      <w:r w:rsidRPr="00A22044">
        <w:rPr>
          <w:color w:val="auto"/>
        </w:rPr>
        <w:t>. Foram observados, também, a compatibilidade dos ativos investidos com os prazo e taxas das obrigações presentes e futuras do</w:t>
      </w:r>
      <w:r w:rsidR="00AD34A3" w:rsidRPr="00A22044">
        <w:rPr>
          <w:color w:val="auto"/>
        </w:rPr>
        <w:t xml:space="preserve"> Regime Próprio</w:t>
      </w:r>
      <w:r w:rsidRPr="00A22044">
        <w:rPr>
          <w:color w:val="auto"/>
        </w:rPr>
        <w:t>.</w:t>
      </w:r>
    </w:p>
    <w:p w14:paraId="1E2BCEDD" w14:textId="3A7E0FCA" w:rsidR="009E1812" w:rsidRPr="00A22044" w:rsidRDefault="00E509C0" w:rsidP="00B62B8E">
      <w:pPr>
        <w:rPr>
          <w:color w:val="auto"/>
        </w:rPr>
      </w:pPr>
      <w:r w:rsidRPr="00A22044">
        <w:rPr>
          <w:color w:val="auto"/>
        </w:rPr>
        <w:t xml:space="preserve">Para a elaboração </w:t>
      </w:r>
      <w:r w:rsidR="00766B72" w:rsidRPr="00A22044">
        <w:rPr>
          <w:color w:val="auto"/>
        </w:rPr>
        <w:t xml:space="preserve">e </w:t>
      </w:r>
      <w:r w:rsidRPr="00A22044">
        <w:rPr>
          <w:color w:val="auto"/>
        </w:rPr>
        <w:t xml:space="preserve">definição dos limites apresentados foram considerados </w:t>
      </w:r>
      <w:r w:rsidR="00AD34A3" w:rsidRPr="00A22044">
        <w:rPr>
          <w:color w:val="auto"/>
        </w:rPr>
        <w:t xml:space="preserve">inclusive </w:t>
      </w:r>
      <w:r w:rsidR="008A7C71" w:rsidRPr="00A22044">
        <w:rPr>
          <w:color w:val="auto"/>
        </w:rPr>
        <w:t xml:space="preserve">as análises mercadológicas </w:t>
      </w:r>
      <w:r w:rsidR="009F5049" w:rsidRPr="00A22044">
        <w:rPr>
          <w:color w:val="auto"/>
        </w:rPr>
        <w:t xml:space="preserve">e as perspectivas, bem como a compatibilidade dos ativos investidos atualmente pelo </w:t>
      </w:r>
      <w:r w:rsidR="00655C90" w:rsidRPr="00A22044">
        <w:rPr>
          <w:bCs/>
          <w:color w:val="auto"/>
          <w:szCs w:val="20"/>
        </w:rPr>
        <w:t>Instituto de Previdência dos Servidores Públicos do Município de Pitangueiras - PITANPREV</w:t>
      </w:r>
      <w:r w:rsidR="00C573F8" w:rsidRPr="00A22044">
        <w:rPr>
          <w:color w:val="auto"/>
        </w:rPr>
        <w:t xml:space="preserve"> com os prazos, montantes e taxas das obrigações atuariais presentes e futuras</w:t>
      </w:r>
      <w:r w:rsidR="004C5BF2" w:rsidRPr="00A22044">
        <w:rPr>
          <w:color w:val="auto"/>
        </w:rPr>
        <w:t>.</w:t>
      </w:r>
    </w:p>
    <w:p w14:paraId="11ABC86F" w14:textId="6347BD2E" w:rsidR="009E1812" w:rsidRPr="0026139D" w:rsidRDefault="009E1812" w:rsidP="00BB08FE">
      <w:pPr>
        <w:pStyle w:val="Ttulo2"/>
      </w:pPr>
      <w:bookmarkStart w:id="28" w:name="_Toc435202742"/>
      <w:bookmarkStart w:id="29" w:name="_Toc490036547"/>
      <w:bookmarkStart w:id="30" w:name="_Toc90997480"/>
      <w:r w:rsidRPr="0026139D">
        <w:t>SEGMENTO DE RENDA FIXA</w:t>
      </w:r>
      <w:bookmarkEnd w:id="28"/>
      <w:bookmarkEnd w:id="29"/>
      <w:bookmarkEnd w:id="30"/>
    </w:p>
    <w:p w14:paraId="0634FD21" w14:textId="204478B6" w:rsidR="009E1812" w:rsidRPr="00A22044" w:rsidRDefault="009E1812" w:rsidP="00B62B8E">
      <w:pPr>
        <w:rPr>
          <w:color w:val="auto"/>
          <w:szCs w:val="20"/>
        </w:rPr>
      </w:pPr>
      <w:r w:rsidRPr="00A22044">
        <w:rPr>
          <w:bCs/>
          <w:color w:val="auto"/>
          <w:szCs w:val="20"/>
        </w:rPr>
        <w:t xml:space="preserve">Obedecendo os limites permitidos no segmento de renda fixa pela Resolução CMN n° </w:t>
      </w:r>
      <w:r w:rsidR="00284805" w:rsidRPr="00A22044">
        <w:rPr>
          <w:bCs/>
          <w:color w:val="auto"/>
          <w:szCs w:val="20"/>
        </w:rPr>
        <w:t>4.963/2021</w:t>
      </w:r>
      <w:r w:rsidRPr="00A22044">
        <w:rPr>
          <w:bCs/>
          <w:color w:val="auto"/>
          <w:szCs w:val="20"/>
        </w:rPr>
        <w:t xml:space="preserve">, o </w:t>
      </w:r>
      <w:r w:rsidR="00655C90" w:rsidRPr="00A22044">
        <w:rPr>
          <w:bCs/>
          <w:color w:val="auto"/>
          <w:szCs w:val="20"/>
        </w:rPr>
        <w:t>Instituto de Previdência dos Servidores Públicos do Município de Pitangueiras - PITANPREV</w:t>
      </w:r>
      <w:r w:rsidRPr="00A22044">
        <w:rPr>
          <w:bCs/>
          <w:color w:val="auto"/>
          <w:szCs w:val="20"/>
        </w:rPr>
        <w:t xml:space="preserve"> propõe-se adotar o </w:t>
      </w:r>
      <w:r w:rsidRPr="00A22044">
        <w:rPr>
          <w:b/>
          <w:bCs/>
          <w:color w:val="auto"/>
          <w:szCs w:val="20"/>
        </w:rPr>
        <w:t>limite de máximo de</w:t>
      </w:r>
      <w:r w:rsidR="00284805" w:rsidRPr="00A22044">
        <w:rPr>
          <w:b/>
          <w:bCs/>
          <w:color w:val="auto"/>
          <w:szCs w:val="20"/>
        </w:rPr>
        <w:t xml:space="preserve"> </w:t>
      </w:r>
      <w:r w:rsidR="002375DC" w:rsidRPr="00A22044">
        <w:rPr>
          <w:b/>
          <w:bCs/>
          <w:color w:val="auto"/>
          <w:szCs w:val="20"/>
        </w:rPr>
        <w:t>88</w:t>
      </w:r>
      <w:r w:rsidR="00284805" w:rsidRPr="00A22044">
        <w:rPr>
          <w:b/>
          <w:bCs/>
          <w:color w:val="auto"/>
          <w:szCs w:val="20"/>
        </w:rPr>
        <w:t>%</w:t>
      </w:r>
      <w:r w:rsidR="002375DC" w:rsidRPr="00A22044">
        <w:rPr>
          <w:b/>
          <w:bCs/>
          <w:color w:val="auto"/>
          <w:szCs w:val="20"/>
        </w:rPr>
        <w:t xml:space="preserve"> </w:t>
      </w:r>
      <w:r w:rsidRPr="00A22044">
        <w:rPr>
          <w:b/>
          <w:bCs/>
          <w:color w:val="auto"/>
          <w:szCs w:val="20"/>
        </w:rPr>
        <w:t>dos investimentos.</w:t>
      </w:r>
    </w:p>
    <w:p w14:paraId="5A8DF5B2" w14:textId="4B09BEB9" w:rsidR="002A5966" w:rsidRPr="00A22044" w:rsidRDefault="009E1812" w:rsidP="00B62B8E">
      <w:pPr>
        <w:rPr>
          <w:bCs/>
          <w:color w:val="auto"/>
          <w:szCs w:val="20"/>
        </w:rPr>
      </w:pPr>
      <w:r w:rsidRPr="00A22044">
        <w:rPr>
          <w:bCs/>
          <w:color w:val="auto"/>
          <w:szCs w:val="20"/>
        </w:rPr>
        <w:t xml:space="preserve">A negociação de títulos </w:t>
      </w:r>
      <w:r w:rsidR="0047675F" w:rsidRPr="00A22044">
        <w:rPr>
          <w:bCs/>
          <w:color w:val="auto"/>
          <w:szCs w:val="20"/>
        </w:rPr>
        <w:t>públicos</w:t>
      </w:r>
      <w:r w:rsidRPr="00A22044">
        <w:rPr>
          <w:bCs/>
          <w:color w:val="auto"/>
          <w:szCs w:val="20"/>
        </w:rPr>
        <w:t xml:space="preserve"> no mercado secundário (compra/venda de títulos públicos) obedecerá ao disposto, Art. </w:t>
      </w:r>
      <w:r w:rsidR="000165AB" w:rsidRPr="00A22044">
        <w:rPr>
          <w:bCs/>
          <w:color w:val="auto"/>
          <w:szCs w:val="20"/>
        </w:rPr>
        <w:t>7</w:t>
      </w:r>
      <w:r w:rsidRPr="00A22044">
        <w:rPr>
          <w:bCs/>
          <w:color w:val="auto"/>
          <w:szCs w:val="20"/>
        </w:rPr>
        <w:t xml:space="preserve">º, inciso I, alínea “a” da Resolução CMN n° </w:t>
      </w:r>
      <w:r w:rsidR="000165AB" w:rsidRPr="00A22044">
        <w:rPr>
          <w:bCs/>
          <w:color w:val="auto"/>
          <w:szCs w:val="20"/>
        </w:rPr>
        <w:t>4.963/2021</w:t>
      </w:r>
      <w:r w:rsidRPr="00A22044">
        <w:rPr>
          <w:bCs/>
          <w:color w:val="auto"/>
          <w:szCs w:val="20"/>
        </w:rPr>
        <w:t>,</w:t>
      </w:r>
      <w:r w:rsidR="00334FF8" w:rsidRPr="00A22044">
        <w:rPr>
          <w:bCs/>
          <w:color w:val="auto"/>
          <w:szCs w:val="20"/>
        </w:rPr>
        <w:t xml:space="preserve"> onde</w:t>
      </w:r>
      <w:r w:rsidRPr="00A22044">
        <w:rPr>
          <w:bCs/>
          <w:color w:val="auto"/>
          <w:szCs w:val="20"/>
        </w:rPr>
        <w:t xml:space="preserve"> deverão </w:t>
      </w:r>
      <w:r w:rsidR="00745900" w:rsidRPr="00A22044">
        <w:rPr>
          <w:bCs/>
          <w:color w:val="auto"/>
          <w:szCs w:val="20"/>
        </w:rPr>
        <w:t xml:space="preserve">estar </w:t>
      </w:r>
      <w:r w:rsidR="00BB595F" w:rsidRPr="00A22044">
        <w:rPr>
          <w:bCs/>
          <w:color w:val="auto"/>
          <w:szCs w:val="20"/>
        </w:rPr>
        <w:t>registrados</w:t>
      </w:r>
      <w:r w:rsidR="002A5966" w:rsidRPr="00A22044">
        <w:rPr>
          <w:bCs/>
          <w:color w:val="auto"/>
          <w:szCs w:val="20"/>
        </w:rPr>
        <w:t xml:space="preserve"> </w:t>
      </w:r>
      <w:r w:rsidR="00BB595F" w:rsidRPr="00A22044">
        <w:rPr>
          <w:bCs/>
          <w:color w:val="auto"/>
          <w:szCs w:val="20"/>
        </w:rPr>
        <w:t>no Sistema Especial de Liquidação e de Custódia (SELIC)</w:t>
      </w:r>
      <w:r w:rsidR="002A5966" w:rsidRPr="00A22044">
        <w:rPr>
          <w:bCs/>
          <w:color w:val="auto"/>
          <w:szCs w:val="20"/>
        </w:rPr>
        <w:t>.</w:t>
      </w:r>
    </w:p>
    <w:p w14:paraId="72B4F98C" w14:textId="5F3F7825" w:rsidR="00BD3144" w:rsidRPr="00A22044" w:rsidRDefault="001D4B47" w:rsidP="00B62B8E">
      <w:pPr>
        <w:rPr>
          <w:bCs/>
          <w:color w:val="auto"/>
          <w:szCs w:val="20"/>
        </w:rPr>
      </w:pPr>
      <w:r w:rsidRPr="00A22044">
        <w:rPr>
          <w:bCs/>
          <w:color w:val="auto"/>
          <w:szCs w:val="20"/>
        </w:rPr>
        <w:t>A</w:t>
      </w:r>
      <w:r w:rsidR="00E86783" w:rsidRPr="00A22044">
        <w:rPr>
          <w:bCs/>
          <w:color w:val="auto"/>
          <w:szCs w:val="20"/>
        </w:rPr>
        <w:t xml:space="preserve"> </w:t>
      </w:r>
      <w:r w:rsidR="009E1812" w:rsidRPr="00A22044">
        <w:rPr>
          <w:bCs/>
          <w:color w:val="auto"/>
          <w:szCs w:val="20"/>
        </w:rPr>
        <w:t>comerciali</w:t>
      </w:r>
      <w:r w:rsidR="00E86783" w:rsidRPr="00A22044">
        <w:rPr>
          <w:bCs/>
          <w:color w:val="auto"/>
          <w:szCs w:val="20"/>
        </w:rPr>
        <w:t xml:space="preserve">zação </w:t>
      </w:r>
      <w:r w:rsidRPr="00A22044">
        <w:rPr>
          <w:bCs/>
          <w:color w:val="auto"/>
          <w:szCs w:val="20"/>
        </w:rPr>
        <w:t xml:space="preserve">dos Títulos Públicos e demais Ativos Financeiros, </w:t>
      </w:r>
      <w:r w:rsidR="00E86783" w:rsidRPr="00A22044">
        <w:rPr>
          <w:bCs/>
          <w:color w:val="auto"/>
          <w:szCs w:val="20"/>
        </w:rPr>
        <w:t>dever</w:t>
      </w:r>
      <w:r w:rsidRPr="00A22044">
        <w:rPr>
          <w:bCs/>
          <w:color w:val="auto"/>
          <w:szCs w:val="20"/>
        </w:rPr>
        <w:t>ão</w:t>
      </w:r>
      <w:r w:rsidR="00E86783" w:rsidRPr="00A22044">
        <w:rPr>
          <w:bCs/>
          <w:color w:val="auto"/>
          <w:szCs w:val="20"/>
        </w:rPr>
        <w:t xml:space="preserve"> acontecer </w:t>
      </w:r>
      <w:r w:rsidR="00B939FC" w:rsidRPr="00A22044">
        <w:rPr>
          <w:bCs/>
          <w:color w:val="auto"/>
          <w:szCs w:val="20"/>
        </w:rPr>
        <w:t>através de plataforma</w:t>
      </w:r>
      <w:r w:rsidR="00E86783" w:rsidRPr="00A22044">
        <w:rPr>
          <w:bCs/>
          <w:color w:val="auto"/>
          <w:szCs w:val="20"/>
        </w:rPr>
        <w:t>s</w:t>
      </w:r>
      <w:r w:rsidR="00B939FC" w:rsidRPr="00A22044">
        <w:rPr>
          <w:bCs/>
          <w:color w:val="auto"/>
          <w:szCs w:val="20"/>
        </w:rPr>
        <w:t xml:space="preserve"> eletrônica</w:t>
      </w:r>
      <w:r w:rsidR="00E86783" w:rsidRPr="00A22044">
        <w:rPr>
          <w:bCs/>
          <w:color w:val="auto"/>
          <w:szCs w:val="20"/>
        </w:rPr>
        <w:t>s</w:t>
      </w:r>
      <w:r w:rsidR="00B939FC" w:rsidRPr="00A22044">
        <w:rPr>
          <w:bCs/>
          <w:color w:val="auto"/>
          <w:szCs w:val="20"/>
        </w:rPr>
        <w:t xml:space="preserve"> </w:t>
      </w:r>
      <w:r w:rsidR="00BB595F" w:rsidRPr="00A22044">
        <w:rPr>
          <w:bCs/>
          <w:color w:val="auto"/>
          <w:szCs w:val="20"/>
        </w:rPr>
        <w:t>administradas por sistemas autorizados a funcionar pelo Banco Central do Brasil ou pela Comissão de Valores Mobiliários, nas suas respectivas áreas de competência, admitindo-se, ainda, aquisição em ofertas públicas do Tesouro Nacional por intermédio das instituições regularmente habilitadas</w:t>
      </w:r>
      <w:r w:rsidR="00BD3144" w:rsidRPr="00A22044">
        <w:rPr>
          <w:bCs/>
          <w:color w:val="auto"/>
          <w:szCs w:val="20"/>
        </w:rPr>
        <w:t>.</w:t>
      </w:r>
    </w:p>
    <w:p w14:paraId="514972D0" w14:textId="6DBA2E61" w:rsidR="009E1812" w:rsidRPr="00A22044" w:rsidRDefault="00FF3208" w:rsidP="00B62B8E">
      <w:pPr>
        <w:rPr>
          <w:bCs/>
          <w:color w:val="auto"/>
          <w:szCs w:val="20"/>
        </w:rPr>
      </w:pPr>
      <w:r w:rsidRPr="00A22044">
        <w:rPr>
          <w:bCs/>
          <w:color w:val="auto"/>
          <w:szCs w:val="20"/>
        </w:rPr>
        <w:t xml:space="preserve">Na aquisição dos </w:t>
      </w:r>
      <w:r w:rsidR="009E1812" w:rsidRPr="00A22044">
        <w:rPr>
          <w:bCs/>
          <w:color w:val="auto"/>
          <w:szCs w:val="20"/>
        </w:rPr>
        <w:t>Títulos Públicos Federais</w:t>
      </w:r>
      <w:r w:rsidR="003F2A45" w:rsidRPr="00A22044">
        <w:rPr>
          <w:bCs/>
          <w:color w:val="auto"/>
          <w:szCs w:val="20"/>
        </w:rPr>
        <w:t xml:space="preserve"> </w:t>
      </w:r>
      <w:r w:rsidR="009E1812" w:rsidRPr="00A22044">
        <w:rPr>
          <w:bCs/>
          <w:color w:val="auto"/>
          <w:szCs w:val="20"/>
        </w:rPr>
        <w:t>contabilizados pelos respectivos custos de aquisição</w:t>
      </w:r>
      <w:r w:rsidR="009521CD" w:rsidRPr="00A22044">
        <w:rPr>
          <w:bCs/>
          <w:color w:val="auto"/>
          <w:szCs w:val="20"/>
        </w:rPr>
        <w:t xml:space="preserve">, </w:t>
      </w:r>
      <w:r w:rsidR="009E1812" w:rsidRPr="00A22044">
        <w:rPr>
          <w:bCs/>
          <w:color w:val="auto"/>
          <w:szCs w:val="20"/>
        </w:rPr>
        <w:t xml:space="preserve">acrescidos dos rendimentos auferidos, </w:t>
      </w:r>
      <w:r w:rsidR="003F2A45" w:rsidRPr="00A22044">
        <w:rPr>
          <w:bCs/>
          <w:color w:val="auto"/>
          <w:szCs w:val="20"/>
        </w:rPr>
        <w:t xml:space="preserve">o </w:t>
      </w:r>
      <w:r w:rsidR="00655C90" w:rsidRPr="00A22044">
        <w:rPr>
          <w:bCs/>
          <w:color w:val="auto"/>
          <w:szCs w:val="20"/>
        </w:rPr>
        <w:t>Instituto de Previdência dos Servidores Públicos do Município de Pitangueiras - PITANPREV</w:t>
      </w:r>
      <w:r w:rsidR="003F2A45" w:rsidRPr="00A22044">
        <w:rPr>
          <w:bCs/>
          <w:color w:val="auto"/>
          <w:szCs w:val="20"/>
        </w:rPr>
        <w:t xml:space="preserve"> </w:t>
      </w:r>
      <w:r w:rsidR="009E1812" w:rsidRPr="00A22044">
        <w:rPr>
          <w:bCs/>
          <w:color w:val="auto"/>
          <w:szCs w:val="20"/>
        </w:rPr>
        <w:t>de</w:t>
      </w:r>
      <w:r w:rsidR="003F2A45" w:rsidRPr="00A22044">
        <w:rPr>
          <w:bCs/>
          <w:color w:val="auto"/>
          <w:szCs w:val="20"/>
        </w:rPr>
        <w:t>verá</w:t>
      </w:r>
      <w:r w:rsidR="009E1812" w:rsidRPr="00A22044">
        <w:rPr>
          <w:bCs/>
          <w:color w:val="auto"/>
          <w:szCs w:val="20"/>
        </w:rPr>
        <w:t xml:space="preserve"> </w:t>
      </w:r>
      <w:r w:rsidR="003F2A45" w:rsidRPr="00A22044">
        <w:rPr>
          <w:bCs/>
          <w:color w:val="auto"/>
          <w:szCs w:val="20"/>
        </w:rPr>
        <w:t xml:space="preserve">cumprir </w:t>
      </w:r>
      <w:r w:rsidR="009E1812" w:rsidRPr="00A22044">
        <w:rPr>
          <w:bCs/>
          <w:color w:val="auto"/>
          <w:szCs w:val="20"/>
        </w:rPr>
        <w:t>cumulativamente as exigências da Portaria MF n° 577, de 27 de dezembro de 2017 sendo elas:</w:t>
      </w:r>
    </w:p>
    <w:p w14:paraId="3E3A0C4D" w14:textId="77777777" w:rsidR="00B62B8E" w:rsidRPr="00A22044" w:rsidRDefault="009E1812" w:rsidP="00B62B8E">
      <w:pPr>
        <w:pStyle w:val="PargrafodaLista"/>
        <w:numPr>
          <w:ilvl w:val="0"/>
          <w:numId w:val="32"/>
        </w:numPr>
        <w:rPr>
          <w:bCs/>
          <w:color w:val="auto"/>
          <w:szCs w:val="20"/>
        </w:rPr>
      </w:pPr>
      <w:r w:rsidRPr="00A22044">
        <w:rPr>
          <w:bCs/>
          <w:color w:val="auto"/>
          <w:szCs w:val="20"/>
        </w:rPr>
        <w:t>seja observada a sua compatibilidade com os prazos e taxas das obrigações presentes e futuras do RPPS;</w:t>
      </w:r>
    </w:p>
    <w:p w14:paraId="39801EE3" w14:textId="77777777" w:rsidR="00B62B8E" w:rsidRPr="00A22044" w:rsidRDefault="00B62B8E" w:rsidP="00B62B8E">
      <w:pPr>
        <w:pStyle w:val="PargrafodaLista"/>
        <w:rPr>
          <w:bCs/>
          <w:color w:val="auto"/>
          <w:szCs w:val="20"/>
        </w:rPr>
      </w:pPr>
    </w:p>
    <w:p w14:paraId="37FF5121" w14:textId="77777777" w:rsidR="00B62B8E" w:rsidRPr="00A22044" w:rsidRDefault="009E1812" w:rsidP="00B62B8E">
      <w:pPr>
        <w:pStyle w:val="PargrafodaLista"/>
        <w:numPr>
          <w:ilvl w:val="0"/>
          <w:numId w:val="32"/>
        </w:numPr>
        <w:rPr>
          <w:bCs/>
          <w:color w:val="auto"/>
          <w:szCs w:val="20"/>
        </w:rPr>
      </w:pPr>
      <w:r w:rsidRPr="00A22044">
        <w:rPr>
          <w:bCs/>
          <w:color w:val="auto"/>
          <w:szCs w:val="20"/>
        </w:rPr>
        <w:t>sejam classificados separadamente dos ativos para negociação, ou seja, daqueles adquiridos com o propósito de serem negociados, independentemente do prazo a decorrer da data da aquisição;</w:t>
      </w:r>
    </w:p>
    <w:p w14:paraId="58D827BF" w14:textId="77777777" w:rsidR="00B62B8E" w:rsidRPr="00A22044" w:rsidRDefault="00B62B8E" w:rsidP="00B62B8E">
      <w:pPr>
        <w:pStyle w:val="PargrafodaLista"/>
        <w:rPr>
          <w:bCs/>
          <w:color w:val="auto"/>
          <w:szCs w:val="20"/>
        </w:rPr>
      </w:pPr>
    </w:p>
    <w:p w14:paraId="4828A276" w14:textId="77777777" w:rsidR="00B62B8E" w:rsidRPr="00A22044" w:rsidRDefault="009E1812" w:rsidP="00B62B8E">
      <w:pPr>
        <w:pStyle w:val="PargrafodaLista"/>
        <w:numPr>
          <w:ilvl w:val="0"/>
          <w:numId w:val="32"/>
        </w:numPr>
        <w:rPr>
          <w:bCs/>
          <w:color w:val="auto"/>
          <w:szCs w:val="20"/>
        </w:rPr>
      </w:pPr>
      <w:r w:rsidRPr="00A22044">
        <w:rPr>
          <w:bCs/>
          <w:color w:val="auto"/>
          <w:szCs w:val="20"/>
        </w:rPr>
        <w:t>seja comprovada a intenção e capacidade financeira do RPPS de mantê-los em carteira até o vencimento; e</w:t>
      </w:r>
    </w:p>
    <w:p w14:paraId="59ED645A" w14:textId="77777777" w:rsidR="00B62B8E" w:rsidRPr="00A22044" w:rsidRDefault="00B62B8E" w:rsidP="00B62B8E">
      <w:pPr>
        <w:pStyle w:val="PargrafodaLista"/>
        <w:rPr>
          <w:bCs/>
          <w:color w:val="auto"/>
          <w:szCs w:val="20"/>
        </w:rPr>
      </w:pPr>
    </w:p>
    <w:p w14:paraId="5084C97E" w14:textId="06FD8D76" w:rsidR="009E1812" w:rsidRPr="00A22044" w:rsidRDefault="009E1812" w:rsidP="00B62B8E">
      <w:pPr>
        <w:pStyle w:val="PargrafodaLista"/>
        <w:numPr>
          <w:ilvl w:val="0"/>
          <w:numId w:val="32"/>
        </w:numPr>
        <w:rPr>
          <w:bCs/>
          <w:color w:val="auto"/>
          <w:szCs w:val="20"/>
        </w:rPr>
      </w:pPr>
      <w:r w:rsidRPr="00A22044">
        <w:rPr>
          <w:bCs/>
          <w:color w:val="auto"/>
          <w:szCs w:val="20"/>
        </w:rPr>
        <w:t>sejam atendidas as normas de atuária e de contabilidade aplicáveis aos RPPS, inclusive no que se refere à obrigatoriedade de divulgação das informações relativas aos títulos adquiridos, ao impacto nos resultados e aos requisitos e procedimentos, na hipótese de alteração da forma de precificação dos títulos de emissão do Tesouro Nacional.</w:t>
      </w:r>
    </w:p>
    <w:p w14:paraId="4FE37DD5" w14:textId="77777777" w:rsidR="005142C2" w:rsidRDefault="005142C2" w:rsidP="00B62B8E"/>
    <w:p w14:paraId="2CDE7E51" w14:textId="332E3616" w:rsidR="00C31F08" w:rsidRDefault="009E1812" w:rsidP="00BB08FE">
      <w:pPr>
        <w:pStyle w:val="Ttulo2"/>
      </w:pPr>
      <w:bookmarkStart w:id="31" w:name="_Toc435202743"/>
      <w:bookmarkStart w:id="32" w:name="_Toc490036548"/>
      <w:bookmarkStart w:id="33" w:name="_Toc90997481"/>
      <w:r w:rsidRPr="0026139D">
        <w:lastRenderedPageBreak/>
        <w:t>SEGMENTO DE RENDA VARIÁVEL</w:t>
      </w:r>
      <w:bookmarkEnd w:id="31"/>
      <w:bookmarkEnd w:id="32"/>
      <w:r w:rsidR="00AE4DB6">
        <w:t xml:space="preserve">, </w:t>
      </w:r>
      <w:r w:rsidR="00BB5F9D">
        <w:t>INVESTIMENTOS ESTRUTURADOS E FUNDOS DE INVESTIMENTOS IMOBILIÁRIOS</w:t>
      </w:r>
      <w:bookmarkEnd w:id="33"/>
    </w:p>
    <w:p w14:paraId="785B8358" w14:textId="571BE6B0" w:rsidR="007D41EE" w:rsidRPr="00A22044" w:rsidRDefault="00142D4C" w:rsidP="00B62B8E">
      <w:pPr>
        <w:rPr>
          <w:bCs/>
          <w:color w:val="auto"/>
          <w:szCs w:val="20"/>
        </w:rPr>
      </w:pPr>
      <w:r w:rsidRPr="00A22044">
        <w:rPr>
          <w:bCs/>
          <w:color w:val="auto"/>
          <w:szCs w:val="20"/>
        </w:rPr>
        <w:t>Em relação ao</w:t>
      </w:r>
      <w:r w:rsidR="00BB5F9D" w:rsidRPr="00A22044">
        <w:rPr>
          <w:bCs/>
          <w:color w:val="auto"/>
          <w:szCs w:val="20"/>
        </w:rPr>
        <w:t>s</w:t>
      </w:r>
      <w:r w:rsidRPr="00A22044">
        <w:rPr>
          <w:bCs/>
          <w:color w:val="auto"/>
          <w:szCs w:val="20"/>
        </w:rPr>
        <w:t xml:space="preserve"> segmento</w:t>
      </w:r>
      <w:r w:rsidR="00BB5F9D" w:rsidRPr="00A22044">
        <w:rPr>
          <w:bCs/>
          <w:color w:val="auto"/>
          <w:szCs w:val="20"/>
        </w:rPr>
        <w:t>s</w:t>
      </w:r>
      <w:r w:rsidRPr="00A22044">
        <w:rPr>
          <w:bCs/>
          <w:color w:val="auto"/>
          <w:szCs w:val="20"/>
        </w:rPr>
        <w:t xml:space="preserve"> de renda variável, </w:t>
      </w:r>
      <w:r w:rsidR="00BB5F9D" w:rsidRPr="00A22044">
        <w:rPr>
          <w:bCs/>
          <w:color w:val="auto"/>
          <w:szCs w:val="20"/>
        </w:rPr>
        <w:t xml:space="preserve">investimentos </w:t>
      </w:r>
      <w:r w:rsidR="00627121" w:rsidRPr="00A22044">
        <w:rPr>
          <w:bCs/>
          <w:color w:val="auto"/>
          <w:szCs w:val="20"/>
        </w:rPr>
        <w:t xml:space="preserve">estruturados e fundos de investimentos imobiliários, </w:t>
      </w:r>
      <w:r w:rsidR="00655368" w:rsidRPr="00A22044">
        <w:rPr>
          <w:bCs/>
          <w:color w:val="auto"/>
          <w:szCs w:val="20"/>
        </w:rPr>
        <w:t>a Resolução CMN nº 4.</w:t>
      </w:r>
      <w:r w:rsidR="00247F55" w:rsidRPr="00A22044">
        <w:rPr>
          <w:bCs/>
          <w:color w:val="auto"/>
          <w:szCs w:val="20"/>
        </w:rPr>
        <w:t>96</w:t>
      </w:r>
      <w:r w:rsidR="00655368" w:rsidRPr="00A22044">
        <w:rPr>
          <w:bCs/>
          <w:color w:val="auto"/>
          <w:szCs w:val="20"/>
        </w:rPr>
        <w:t>3/2021</w:t>
      </w:r>
      <w:r w:rsidR="00247F55" w:rsidRPr="00A22044">
        <w:rPr>
          <w:bCs/>
          <w:color w:val="auto"/>
          <w:szCs w:val="20"/>
        </w:rPr>
        <w:t xml:space="preserve"> estabelece que o</w:t>
      </w:r>
      <w:r w:rsidRPr="00A22044">
        <w:rPr>
          <w:bCs/>
          <w:color w:val="auto"/>
          <w:szCs w:val="20"/>
        </w:rPr>
        <w:t xml:space="preserve"> </w:t>
      </w:r>
      <w:r w:rsidR="00247F55" w:rsidRPr="00A22044">
        <w:rPr>
          <w:bCs/>
          <w:color w:val="auto"/>
          <w:szCs w:val="20"/>
        </w:rPr>
        <w:t xml:space="preserve">limite </w:t>
      </w:r>
      <w:r w:rsidRPr="00A22044">
        <w:rPr>
          <w:bCs/>
          <w:color w:val="auto"/>
          <w:szCs w:val="20"/>
        </w:rPr>
        <w:t xml:space="preserve">legal </w:t>
      </w:r>
      <w:r w:rsidR="00247F55" w:rsidRPr="00A22044">
        <w:rPr>
          <w:bCs/>
          <w:color w:val="auto"/>
          <w:szCs w:val="20"/>
        </w:rPr>
        <w:t>d</w:t>
      </w:r>
      <w:r w:rsidRPr="00A22044">
        <w:rPr>
          <w:bCs/>
          <w:color w:val="auto"/>
          <w:szCs w:val="20"/>
        </w:rPr>
        <w:t xml:space="preserve">os recursos alocados nos </w:t>
      </w:r>
      <w:r w:rsidR="007D41EE" w:rsidRPr="00A22044">
        <w:rPr>
          <w:bCs/>
          <w:color w:val="auto"/>
          <w:szCs w:val="20"/>
        </w:rPr>
        <w:t>segmentos</w:t>
      </w:r>
      <w:r w:rsidRPr="00A22044">
        <w:rPr>
          <w:bCs/>
          <w:color w:val="auto"/>
          <w:szCs w:val="20"/>
        </w:rPr>
        <w:t xml:space="preserve">, </w:t>
      </w:r>
      <w:r w:rsidR="00EC548A" w:rsidRPr="00A22044">
        <w:rPr>
          <w:bCs/>
          <w:color w:val="auto"/>
          <w:szCs w:val="20"/>
        </w:rPr>
        <w:t xml:space="preserve">não </w:t>
      </w:r>
      <w:r w:rsidR="007D41EE" w:rsidRPr="00A22044">
        <w:rPr>
          <w:bCs/>
          <w:color w:val="auto"/>
          <w:szCs w:val="20"/>
        </w:rPr>
        <w:t xml:space="preserve">poderão </w:t>
      </w:r>
      <w:r w:rsidR="00EC548A" w:rsidRPr="00A22044">
        <w:rPr>
          <w:bCs/>
          <w:color w:val="auto"/>
          <w:szCs w:val="20"/>
        </w:rPr>
        <w:t>e</w:t>
      </w:r>
      <w:r w:rsidRPr="00A22044">
        <w:rPr>
          <w:bCs/>
          <w:color w:val="auto"/>
          <w:szCs w:val="20"/>
        </w:rPr>
        <w:t>xced</w:t>
      </w:r>
      <w:r w:rsidR="007D41EE" w:rsidRPr="00A22044">
        <w:rPr>
          <w:bCs/>
          <w:color w:val="auto"/>
          <w:szCs w:val="20"/>
        </w:rPr>
        <w:t>er</w:t>
      </w:r>
      <w:r w:rsidR="00EC548A" w:rsidRPr="00A22044">
        <w:rPr>
          <w:bCs/>
          <w:color w:val="auto"/>
          <w:szCs w:val="20"/>
        </w:rPr>
        <w:t xml:space="preserve"> cumulativamente </w:t>
      </w:r>
      <w:r w:rsidR="007D41EE" w:rsidRPr="00A22044">
        <w:rPr>
          <w:bCs/>
          <w:color w:val="auto"/>
          <w:szCs w:val="20"/>
        </w:rPr>
        <w:t xml:space="preserve">ao limite de </w:t>
      </w:r>
      <w:r w:rsidR="007A447E" w:rsidRPr="00A22044">
        <w:rPr>
          <w:bCs/>
          <w:color w:val="auto"/>
          <w:szCs w:val="20"/>
        </w:rPr>
        <w:t>30%</w:t>
      </w:r>
      <w:r w:rsidRPr="00A22044">
        <w:rPr>
          <w:bCs/>
          <w:color w:val="auto"/>
          <w:szCs w:val="20"/>
        </w:rPr>
        <w:t xml:space="preserve"> da totalidade dos recursos em moeda corrente</w:t>
      </w:r>
      <w:r w:rsidR="007D41EE" w:rsidRPr="00A22044">
        <w:rPr>
          <w:bCs/>
          <w:color w:val="auto"/>
          <w:szCs w:val="20"/>
        </w:rPr>
        <w:t>.</w:t>
      </w:r>
    </w:p>
    <w:p w14:paraId="4491C819" w14:textId="7772F5E9" w:rsidR="00142D4C" w:rsidRPr="00A22044" w:rsidRDefault="00A2705C" w:rsidP="00B62B8E">
      <w:pPr>
        <w:rPr>
          <w:b/>
          <w:bCs/>
          <w:color w:val="auto"/>
          <w:szCs w:val="20"/>
        </w:rPr>
      </w:pPr>
      <w:r w:rsidRPr="00A22044">
        <w:rPr>
          <w:bCs/>
          <w:color w:val="auto"/>
          <w:szCs w:val="20"/>
        </w:rPr>
        <w:t>Neste sentido, o</w:t>
      </w:r>
      <w:r w:rsidR="00142D4C" w:rsidRPr="00A22044">
        <w:rPr>
          <w:bCs/>
          <w:color w:val="auto"/>
          <w:szCs w:val="20"/>
        </w:rPr>
        <w:t xml:space="preserve"> </w:t>
      </w:r>
      <w:r w:rsidR="00655C90" w:rsidRPr="00A22044">
        <w:rPr>
          <w:bCs/>
          <w:color w:val="auto"/>
          <w:szCs w:val="20"/>
        </w:rPr>
        <w:t>Instituto de Previdência dos Servidores Públicos do Município de Pitangueiras - PITANPREV</w:t>
      </w:r>
      <w:r w:rsidR="00142D4C" w:rsidRPr="00A22044">
        <w:rPr>
          <w:bCs/>
          <w:color w:val="auto"/>
          <w:szCs w:val="20"/>
        </w:rPr>
        <w:t xml:space="preserve"> propõe adotar </w:t>
      </w:r>
      <w:r w:rsidR="007D41EE" w:rsidRPr="00A22044">
        <w:rPr>
          <w:bCs/>
          <w:color w:val="auto"/>
          <w:szCs w:val="20"/>
        </w:rPr>
        <w:t>como</w:t>
      </w:r>
      <w:r w:rsidR="00142D4C" w:rsidRPr="00A22044">
        <w:rPr>
          <w:bCs/>
          <w:color w:val="auto"/>
          <w:szCs w:val="20"/>
        </w:rPr>
        <w:t xml:space="preserve"> </w:t>
      </w:r>
      <w:r w:rsidR="00142D4C" w:rsidRPr="00A22044">
        <w:rPr>
          <w:b/>
          <w:bCs/>
          <w:color w:val="auto"/>
          <w:szCs w:val="20"/>
        </w:rPr>
        <w:t xml:space="preserve">limite máximo </w:t>
      </w:r>
      <w:r w:rsidR="007D41EE" w:rsidRPr="00A22044">
        <w:rPr>
          <w:b/>
          <w:bCs/>
          <w:color w:val="auto"/>
          <w:szCs w:val="20"/>
        </w:rPr>
        <w:t>o percentual de</w:t>
      </w:r>
      <w:r w:rsidR="00142D4C" w:rsidRPr="00A22044">
        <w:rPr>
          <w:b/>
          <w:bCs/>
          <w:color w:val="auto"/>
          <w:szCs w:val="20"/>
        </w:rPr>
        <w:t xml:space="preserve"> </w:t>
      </w:r>
      <w:r w:rsidR="007A447E" w:rsidRPr="00A22044">
        <w:rPr>
          <w:b/>
          <w:bCs/>
          <w:color w:val="auto"/>
          <w:szCs w:val="20"/>
        </w:rPr>
        <w:t>30</w:t>
      </w:r>
      <w:r w:rsidR="00142D4C" w:rsidRPr="00A22044">
        <w:rPr>
          <w:bCs/>
          <w:color w:val="auto"/>
          <w:szCs w:val="20"/>
        </w:rPr>
        <w:t>%</w:t>
      </w:r>
      <w:r w:rsidR="00142D4C" w:rsidRPr="00A22044">
        <w:rPr>
          <w:b/>
          <w:bCs/>
          <w:color w:val="auto"/>
          <w:szCs w:val="20"/>
        </w:rPr>
        <w:t xml:space="preserve"> da totalidade dos</w:t>
      </w:r>
      <w:r w:rsidR="00A72BBB" w:rsidRPr="00A22044">
        <w:rPr>
          <w:b/>
          <w:bCs/>
          <w:color w:val="auto"/>
          <w:szCs w:val="20"/>
        </w:rPr>
        <w:t xml:space="preserve"> recursos</w:t>
      </w:r>
      <w:r w:rsidR="00E64BCB" w:rsidRPr="00A22044">
        <w:rPr>
          <w:b/>
          <w:bCs/>
          <w:color w:val="auto"/>
          <w:szCs w:val="20"/>
        </w:rPr>
        <w:t>.</w:t>
      </w:r>
    </w:p>
    <w:p w14:paraId="3C45F806" w14:textId="1A829A90" w:rsidR="00BB5F9D" w:rsidRPr="00A22044" w:rsidRDefault="00BB5F9D" w:rsidP="00B62B8E">
      <w:pPr>
        <w:rPr>
          <w:bCs/>
          <w:color w:val="auto"/>
          <w:szCs w:val="20"/>
        </w:rPr>
      </w:pPr>
      <w:r w:rsidRPr="00A22044">
        <w:rPr>
          <w:bCs/>
          <w:color w:val="auto"/>
          <w:szCs w:val="20"/>
        </w:rPr>
        <w:t xml:space="preserve">São considerados como investimentos estruturados segundo Resolução CMN n° </w:t>
      </w:r>
      <w:r w:rsidR="009260E0">
        <w:rPr>
          <w:bCs/>
          <w:color w:val="auto"/>
          <w:szCs w:val="20"/>
        </w:rPr>
        <w:t>4.963/2021</w:t>
      </w:r>
      <w:r w:rsidRPr="00A22044">
        <w:rPr>
          <w:bCs/>
          <w:color w:val="auto"/>
          <w:szCs w:val="20"/>
        </w:rPr>
        <w:t>, os fundos de investimento classificados como multimercado, os fundos de investimento em participações - FIPs e os fundos de investimento classificados como “Ações – Mercado de Acesso”.</w:t>
      </w:r>
    </w:p>
    <w:p w14:paraId="0DB16F3E" w14:textId="77777777" w:rsidR="000C7E83" w:rsidRDefault="000C7E83" w:rsidP="00BB08FE">
      <w:pPr>
        <w:pStyle w:val="Ttulo2"/>
      </w:pPr>
      <w:bookmarkStart w:id="34" w:name="_Toc90997482"/>
      <w:r>
        <w:t>SEGMENTO DE INVESTIMENTOS NO EXTERIOR</w:t>
      </w:r>
      <w:bookmarkEnd w:id="34"/>
    </w:p>
    <w:p w14:paraId="234A60D4" w14:textId="35A853E8" w:rsidR="0040464A" w:rsidRPr="00D66461" w:rsidRDefault="00C17A63" w:rsidP="00B62B8E">
      <w:pPr>
        <w:rPr>
          <w:bCs/>
          <w:color w:val="auto"/>
          <w:szCs w:val="20"/>
        </w:rPr>
      </w:pPr>
      <w:r w:rsidRPr="00D66461">
        <w:rPr>
          <w:bCs/>
          <w:color w:val="auto"/>
          <w:szCs w:val="20"/>
        </w:rPr>
        <w:t>No</w:t>
      </w:r>
      <w:r w:rsidR="007F09AE" w:rsidRPr="00D66461">
        <w:rPr>
          <w:bCs/>
          <w:color w:val="auto"/>
          <w:szCs w:val="20"/>
        </w:rPr>
        <w:t xml:space="preserve"> segmento classificado como “Investimentos no Exter</w:t>
      </w:r>
      <w:r w:rsidR="00BC670A" w:rsidRPr="00D66461">
        <w:rPr>
          <w:bCs/>
          <w:color w:val="auto"/>
          <w:szCs w:val="20"/>
        </w:rPr>
        <w:t>i</w:t>
      </w:r>
      <w:r w:rsidR="007F09AE" w:rsidRPr="00D66461">
        <w:rPr>
          <w:bCs/>
          <w:color w:val="auto"/>
          <w:szCs w:val="20"/>
        </w:rPr>
        <w:t>or”</w:t>
      </w:r>
      <w:r w:rsidR="0040464A" w:rsidRPr="00D66461">
        <w:rPr>
          <w:bCs/>
          <w:color w:val="auto"/>
          <w:szCs w:val="20"/>
        </w:rPr>
        <w:t xml:space="preserve">, a Resolução CMN nº 4.963/2021 estabelece que </w:t>
      </w:r>
      <w:r w:rsidR="006B6001" w:rsidRPr="00D66461">
        <w:rPr>
          <w:bCs/>
          <w:color w:val="auto"/>
          <w:szCs w:val="20"/>
        </w:rPr>
        <w:t>o limite legal dos recursos alocados não poderá</w:t>
      </w:r>
      <w:r w:rsidR="0040464A" w:rsidRPr="00D66461">
        <w:rPr>
          <w:bCs/>
          <w:color w:val="auto"/>
          <w:szCs w:val="20"/>
        </w:rPr>
        <w:t xml:space="preserve"> exceder cumulativamente ao limite de </w:t>
      </w:r>
      <w:r w:rsidR="006739BC" w:rsidRPr="00D66461">
        <w:rPr>
          <w:bCs/>
          <w:color w:val="auto"/>
          <w:szCs w:val="20"/>
        </w:rPr>
        <w:t>1</w:t>
      </w:r>
      <w:r w:rsidR="0040464A" w:rsidRPr="00D66461">
        <w:rPr>
          <w:bCs/>
          <w:color w:val="auto"/>
          <w:szCs w:val="20"/>
        </w:rPr>
        <w:t>0% (</w:t>
      </w:r>
      <w:r w:rsidR="006739BC" w:rsidRPr="00D66461">
        <w:rPr>
          <w:bCs/>
          <w:color w:val="auto"/>
          <w:szCs w:val="20"/>
        </w:rPr>
        <w:t>dez por cento</w:t>
      </w:r>
      <w:r w:rsidR="0040464A" w:rsidRPr="00D66461">
        <w:rPr>
          <w:bCs/>
          <w:color w:val="auto"/>
          <w:szCs w:val="20"/>
        </w:rPr>
        <w:t>) da totalidade dos recursos em moeda corrente.</w:t>
      </w:r>
    </w:p>
    <w:p w14:paraId="7D703D14" w14:textId="0B157E0C" w:rsidR="006B6001" w:rsidRPr="00D66461" w:rsidRDefault="006B6001" w:rsidP="00B62B8E">
      <w:pPr>
        <w:rPr>
          <w:b/>
          <w:bCs/>
          <w:color w:val="auto"/>
          <w:szCs w:val="20"/>
        </w:rPr>
      </w:pPr>
      <w:r w:rsidRPr="00D66461">
        <w:rPr>
          <w:bCs/>
          <w:color w:val="auto"/>
          <w:szCs w:val="20"/>
        </w:rPr>
        <w:t xml:space="preserve">Neste sentido, o </w:t>
      </w:r>
      <w:r w:rsidR="00655C90" w:rsidRPr="00D66461">
        <w:rPr>
          <w:bCs/>
          <w:color w:val="auto"/>
          <w:szCs w:val="20"/>
        </w:rPr>
        <w:t>Instituto de Previdência dos Servidores Públicos do Município de Pitangueiras – PITANPREV</w:t>
      </w:r>
      <w:r w:rsidRPr="00D66461">
        <w:rPr>
          <w:bCs/>
          <w:color w:val="auto"/>
          <w:szCs w:val="20"/>
        </w:rPr>
        <w:t xml:space="preserve"> propõe adotar como </w:t>
      </w:r>
      <w:r w:rsidRPr="00D66461">
        <w:rPr>
          <w:b/>
          <w:bCs/>
          <w:color w:val="auto"/>
          <w:szCs w:val="20"/>
        </w:rPr>
        <w:t xml:space="preserve">limite máximo o percentual de </w:t>
      </w:r>
      <w:r w:rsidR="007A447E" w:rsidRPr="00D66461">
        <w:rPr>
          <w:b/>
          <w:bCs/>
          <w:color w:val="auto"/>
          <w:szCs w:val="20"/>
        </w:rPr>
        <w:t>10%</w:t>
      </w:r>
      <w:r w:rsidRPr="00D66461">
        <w:rPr>
          <w:b/>
          <w:bCs/>
          <w:color w:val="auto"/>
          <w:szCs w:val="20"/>
        </w:rPr>
        <w:t xml:space="preserve"> da totalidade dos recursos.</w:t>
      </w:r>
    </w:p>
    <w:p w14:paraId="3EB93750" w14:textId="77777777" w:rsidR="000F7DE0" w:rsidRPr="00D66461" w:rsidRDefault="000F7DE0" w:rsidP="00B62B8E">
      <w:pPr>
        <w:rPr>
          <w:color w:val="auto"/>
        </w:rPr>
      </w:pPr>
      <w:r w:rsidRPr="00D66461">
        <w:rPr>
          <w:color w:val="auto"/>
        </w:rPr>
        <w:t>Deverão ser considerados apenas os fundos de investimentos constituídos no exterior que possuam histórico de 12 (doze) meses, que seus gestores estejam em atividade há mais de 5 (cinco) anos e administrem o montante de recursos de terceiros equivalente a US$ 5 bilhões de dólares na data do aporte.</w:t>
      </w:r>
    </w:p>
    <w:p w14:paraId="2A125DD4" w14:textId="1259317D" w:rsidR="0014443E" w:rsidRDefault="0014443E" w:rsidP="00BB08FE">
      <w:pPr>
        <w:pStyle w:val="Ttulo2"/>
      </w:pPr>
      <w:bookmarkStart w:id="35" w:name="_Toc90997483"/>
      <w:r>
        <w:t>EMPRÉSTIMO CONSIGNADO</w:t>
      </w:r>
      <w:bookmarkEnd w:id="35"/>
    </w:p>
    <w:p w14:paraId="2993450E" w14:textId="1D2742A0" w:rsidR="00CD5562" w:rsidRPr="00D66461" w:rsidRDefault="00C17A63" w:rsidP="00B62B8E">
      <w:pPr>
        <w:rPr>
          <w:color w:val="auto"/>
        </w:rPr>
      </w:pPr>
      <w:r w:rsidRPr="00D66461">
        <w:rPr>
          <w:color w:val="auto"/>
        </w:rPr>
        <w:t xml:space="preserve">Para o segmento de </w:t>
      </w:r>
      <w:r w:rsidR="00E95E2F" w:rsidRPr="00D66461">
        <w:rPr>
          <w:color w:val="auto"/>
        </w:rPr>
        <w:t>empréstimos a segurados, na modalidade consignados</w:t>
      </w:r>
      <w:r w:rsidR="00ED17B2" w:rsidRPr="00D66461">
        <w:rPr>
          <w:color w:val="auto"/>
        </w:rPr>
        <w:t xml:space="preserve">, </w:t>
      </w:r>
      <w:r w:rsidR="00ED17B2" w:rsidRPr="00D66461">
        <w:rPr>
          <w:bCs/>
          <w:color w:val="auto"/>
          <w:szCs w:val="20"/>
        </w:rPr>
        <w:t xml:space="preserve">a Resolução CMN nº 4.963/2021 estabelece que o limite legal de </w:t>
      </w:r>
      <w:r w:rsidR="00655C90" w:rsidRPr="00D66461">
        <w:rPr>
          <w:bCs/>
          <w:color w:val="auto"/>
          <w:szCs w:val="20"/>
        </w:rPr>
        <w:t>5% (cinco por cento)</w:t>
      </w:r>
      <w:r w:rsidR="00ED17B2" w:rsidRPr="00D66461">
        <w:rPr>
          <w:bCs/>
          <w:color w:val="auto"/>
          <w:szCs w:val="20"/>
        </w:rPr>
        <w:t xml:space="preserve"> da totalidade dos recursos em moeda corrente.</w:t>
      </w:r>
    </w:p>
    <w:p w14:paraId="7C5C8379" w14:textId="15E9C282" w:rsidR="00CD5562" w:rsidRPr="00D66461" w:rsidRDefault="002F3C76" w:rsidP="00B62B8E">
      <w:pPr>
        <w:rPr>
          <w:b/>
          <w:bCs/>
          <w:color w:val="auto"/>
          <w:szCs w:val="20"/>
        </w:rPr>
      </w:pPr>
      <w:r w:rsidRPr="00D66461">
        <w:rPr>
          <w:color w:val="auto"/>
        </w:rPr>
        <w:t xml:space="preserve">Devido </w:t>
      </w:r>
      <w:r w:rsidR="001571B0" w:rsidRPr="00D66461">
        <w:rPr>
          <w:color w:val="auto"/>
        </w:rPr>
        <w:t>à</w:t>
      </w:r>
      <w:r w:rsidRPr="00D66461">
        <w:rPr>
          <w:color w:val="auto"/>
        </w:rPr>
        <w:t xml:space="preserve"> complexidade</w:t>
      </w:r>
      <w:r w:rsidR="00C72A79" w:rsidRPr="00D66461">
        <w:rPr>
          <w:color w:val="auto"/>
        </w:rPr>
        <w:t xml:space="preserve"> </w:t>
      </w:r>
      <w:r w:rsidR="001571B0" w:rsidRPr="00D66461">
        <w:rPr>
          <w:color w:val="auto"/>
        </w:rPr>
        <w:t>na</w:t>
      </w:r>
      <w:r w:rsidR="00C72A79" w:rsidRPr="00D66461">
        <w:rPr>
          <w:color w:val="auto"/>
        </w:rPr>
        <w:t xml:space="preserve"> </w:t>
      </w:r>
      <w:r w:rsidR="001571B0" w:rsidRPr="00D66461">
        <w:rPr>
          <w:color w:val="auto"/>
        </w:rPr>
        <w:t xml:space="preserve">construção e </w:t>
      </w:r>
      <w:r w:rsidR="00C72A79" w:rsidRPr="00D66461">
        <w:rPr>
          <w:color w:val="auto"/>
        </w:rPr>
        <w:t xml:space="preserve">adoção de parâmetros específicos </w:t>
      </w:r>
      <w:r w:rsidR="00375B10" w:rsidRPr="00D66461">
        <w:rPr>
          <w:color w:val="auto"/>
        </w:rPr>
        <w:t xml:space="preserve">de governança para </w:t>
      </w:r>
      <w:r w:rsidR="001571B0" w:rsidRPr="00D66461">
        <w:rPr>
          <w:color w:val="auto"/>
        </w:rPr>
        <w:t>o processo de</w:t>
      </w:r>
      <w:r w:rsidR="00375B10" w:rsidRPr="00D66461">
        <w:rPr>
          <w:color w:val="auto"/>
        </w:rPr>
        <w:t xml:space="preserve"> implantação</w:t>
      </w:r>
      <w:r w:rsidR="001571B0" w:rsidRPr="00D66461">
        <w:rPr>
          <w:color w:val="auto"/>
        </w:rPr>
        <w:t xml:space="preserve"> da modalidade</w:t>
      </w:r>
      <w:r w:rsidRPr="00D66461">
        <w:rPr>
          <w:color w:val="auto"/>
        </w:rPr>
        <w:t xml:space="preserve">, </w:t>
      </w:r>
      <w:r w:rsidRPr="00D66461">
        <w:rPr>
          <w:bCs/>
          <w:color w:val="auto"/>
          <w:szCs w:val="20"/>
        </w:rPr>
        <w:t xml:space="preserve">o </w:t>
      </w:r>
      <w:r w:rsidR="00655C90" w:rsidRPr="00D66461">
        <w:rPr>
          <w:bCs/>
          <w:color w:val="auto"/>
          <w:szCs w:val="20"/>
        </w:rPr>
        <w:t xml:space="preserve">Instituto de Previdência dos Servidores Públicos do Município de Pitangueiras - PITANPREV </w:t>
      </w:r>
      <w:r w:rsidR="007567D6" w:rsidRPr="00D66461">
        <w:rPr>
          <w:bCs/>
          <w:color w:val="auto"/>
          <w:szCs w:val="20"/>
        </w:rPr>
        <w:t xml:space="preserve">propõe adotar, neste momento, como </w:t>
      </w:r>
      <w:r w:rsidR="007567D6" w:rsidRPr="00D66461">
        <w:rPr>
          <w:b/>
          <w:bCs/>
          <w:color w:val="auto"/>
          <w:szCs w:val="20"/>
        </w:rPr>
        <w:t xml:space="preserve">limite o percentual de </w:t>
      </w:r>
      <w:r w:rsidR="00D66461">
        <w:rPr>
          <w:b/>
          <w:bCs/>
          <w:color w:val="auto"/>
          <w:szCs w:val="20"/>
        </w:rPr>
        <w:t>0,00</w:t>
      </w:r>
      <w:r w:rsidR="009D574E" w:rsidRPr="00D66461">
        <w:rPr>
          <w:b/>
          <w:bCs/>
          <w:color w:val="auto"/>
          <w:szCs w:val="20"/>
        </w:rPr>
        <w:t>% (</w:t>
      </w:r>
      <w:r w:rsidR="00D66461">
        <w:rPr>
          <w:b/>
          <w:bCs/>
          <w:color w:val="auto"/>
          <w:szCs w:val="20"/>
        </w:rPr>
        <w:t>zero por cento</w:t>
      </w:r>
      <w:r w:rsidR="009D574E" w:rsidRPr="00D66461">
        <w:rPr>
          <w:b/>
          <w:bCs/>
          <w:color w:val="auto"/>
          <w:szCs w:val="20"/>
        </w:rPr>
        <w:t>)</w:t>
      </w:r>
      <w:r w:rsidR="001571B0" w:rsidRPr="00D66461">
        <w:rPr>
          <w:b/>
          <w:bCs/>
          <w:color w:val="auto"/>
          <w:szCs w:val="20"/>
        </w:rPr>
        <w:t xml:space="preserve"> </w:t>
      </w:r>
      <w:r w:rsidR="007567D6" w:rsidRPr="00D66461">
        <w:rPr>
          <w:b/>
          <w:bCs/>
          <w:color w:val="auto"/>
          <w:szCs w:val="20"/>
        </w:rPr>
        <w:t>da totalidade dos recursos.</w:t>
      </w:r>
    </w:p>
    <w:p w14:paraId="4DFEB52A" w14:textId="6AA2340C" w:rsidR="00417094" w:rsidRPr="00D66461" w:rsidRDefault="00417094" w:rsidP="00B62B8E">
      <w:pPr>
        <w:rPr>
          <w:color w:val="auto"/>
        </w:rPr>
      </w:pPr>
      <w:r w:rsidRPr="00D66461">
        <w:rPr>
          <w:color w:val="auto"/>
        </w:rPr>
        <w:t>N</w:t>
      </w:r>
      <w:r w:rsidR="00B033D2" w:rsidRPr="00D66461">
        <w:rPr>
          <w:color w:val="auto"/>
        </w:rPr>
        <w:t>o processo de</w:t>
      </w:r>
      <w:r w:rsidRPr="00D66461">
        <w:rPr>
          <w:color w:val="auto"/>
        </w:rPr>
        <w:t xml:space="preserve"> </w:t>
      </w:r>
      <w:r w:rsidR="00B033D2" w:rsidRPr="00D66461">
        <w:rPr>
          <w:color w:val="auto"/>
        </w:rPr>
        <w:t>implantação da modalidade</w:t>
      </w:r>
      <w:r w:rsidRPr="00D66461">
        <w:rPr>
          <w:color w:val="auto"/>
        </w:rPr>
        <w:t xml:space="preserve">, não serão considerados desenquadramentos os limites aqui definidos, tendo o </w:t>
      </w:r>
      <w:r w:rsidR="00655C90" w:rsidRPr="00D66461">
        <w:rPr>
          <w:bCs/>
          <w:color w:val="auto"/>
          <w:szCs w:val="20"/>
        </w:rPr>
        <w:t>Instituto de Previdência dos Servidores Públicos do Município de Pitangueiras - PITANPREV</w:t>
      </w:r>
      <w:r w:rsidRPr="00D66461">
        <w:rPr>
          <w:color w:val="auto"/>
        </w:rPr>
        <w:t xml:space="preserve"> prazo de </w:t>
      </w:r>
      <w:r w:rsidRPr="00D66461">
        <w:rPr>
          <w:b/>
          <w:bCs/>
          <w:color w:val="auto"/>
        </w:rPr>
        <w:t>60 (sessenta) dias</w:t>
      </w:r>
      <w:r w:rsidRPr="00D66461">
        <w:rPr>
          <w:color w:val="auto"/>
        </w:rPr>
        <w:t xml:space="preserve"> para revisão e adequação da sua Política de Investimentos em atendimento aos novos </w:t>
      </w:r>
      <w:r w:rsidR="00546116" w:rsidRPr="00D66461">
        <w:rPr>
          <w:color w:val="auto"/>
        </w:rPr>
        <w:t xml:space="preserve">parâmetros, especificamente o Art. </w:t>
      </w:r>
      <w:r w:rsidR="00A513D1" w:rsidRPr="00D66461">
        <w:rPr>
          <w:color w:val="auto"/>
        </w:rPr>
        <w:t>12, §</w:t>
      </w:r>
      <w:r w:rsidR="00612224" w:rsidRPr="00D66461">
        <w:rPr>
          <w:color w:val="auto"/>
        </w:rPr>
        <w:t xml:space="preserve"> 11</w:t>
      </w:r>
      <w:r w:rsidR="00BF39DA" w:rsidRPr="00D66461">
        <w:rPr>
          <w:color w:val="auto"/>
        </w:rPr>
        <w:t xml:space="preserve"> da </w:t>
      </w:r>
      <w:r w:rsidR="00BF39DA" w:rsidRPr="00D66461">
        <w:rPr>
          <w:bCs/>
          <w:color w:val="auto"/>
          <w:szCs w:val="20"/>
        </w:rPr>
        <w:t>Resolução CMN nº 4.963/2021</w:t>
      </w:r>
      <w:r w:rsidRPr="00D66461">
        <w:rPr>
          <w:color w:val="auto"/>
        </w:rPr>
        <w:t>.</w:t>
      </w:r>
    </w:p>
    <w:p w14:paraId="1D59E109" w14:textId="77777777" w:rsidR="009E1812" w:rsidRDefault="009E1812" w:rsidP="00B62B8E"/>
    <w:p w14:paraId="1C1AC58D" w14:textId="77777777" w:rsidR="009E1812" w:rsidRDefault="009E1812" w:rsidP="00BB08FE">
      <w:pPr>
        <w:pStyle w:val="Ttulo2"/>
      </w:pPr>
      <w:bookmarkStart w:id="36" w:name="_Toc90997484"/>
      <w:r>
        <w:lastRenderedPageBreak/>
        <w:t>LIMITES GERAIS</w:t>
      </w:r>
      <w:bookmarkEnd w:id="36"/>
    </w:p>
    <w:p w14:paraId="4A197D4D" w14:textId="285C5CD9" w:rsidR="009E1812" w:rsidRPr="00D66461" w:rsidRDefault="009E1812" w:rsidP="00B62B8E">
      <w:pPr>
        <w:rPr>
          <w:bCs/>
          <w:color w:val="auto"/>
          <w:szCs w:val="20"/>
        </w:rPr>
      </w:pPr>
      <w:r w:rsidRPr="00D66461">
        <w:rPr>
          <w:color w:val="auto"/>
        </w:rPr>
        <w:t xml:space="preserve">No acompanhamento dos limites gerais da carteira de investimentos do </w:t>
      </w:r>
      <w:r w:rsidR="00655C90" w:rsidRPr="00D66461">
        <w:rPr>
          <w:bCs/>
          <w:color w:val="auto"/>
          <w:szCs w:val="20"/>
        </w:rPr>
        <w:t>Instituto de Previdência dos Servidores Públicos do Município de Pitangueiras - PITANPREV</w:t>
      </w:r>
      <w:r w:rsidRPr="00D66461">
        <w:rPr>
          <w:bCs/>
          <w:color w:val="auto"/>
          <w:szCs w:val="20"/>
        </w:rPr>
        <w:t>, em atendimento aos limites aqui estabelecidos e da Resolução CMN n°</w:t>
      </w:r>
      <w:r w:rsidR="00CC1D1F" w:rsidRPr="00D66461">
        <w:rPr>
          <w:bCs/>
          <w:color w:val="auto"/>
          <w:szCs w:val="20"/>
        </w:rPr>
        <w:t xml:space="preserve"> 4.963/2021</w:t>
      </w:r>
      <w:r w:rsidRPr="00D66461">
        <w:rPr>
          <w:bCs/>
          <w:color w:val="auto"/>
          <w:szCs w:val="20"/>
        </w:rPr>
        <w:t>, serão consolidadas as posições das aplicações dos recursos realizados direta e indiretamente por meio de fundos de investimentos e fundos de investimentos em cotas de fundos de investimentos.</w:t>
      </w:r>
    </w:p>
    <w:p w14:paraId="4EE8CCF6" w14:textId="2F421289" w:rsidR="009E1812" w:rsidRPr="00D66461" w:rsidRDefault="009E1812" w:rsidP="00B62B8E">
      <w:pPr>
        <w:rPr>
          <w:bCs/>
          <w:color w:val="auto"/>
          <w:szCs w:val="20"/>
        </w:rPr>
      </w:pPr>
      <w:r w:rsidRPr="00D66461">
        <w:rPr>
          <w:bCs/>
          <w:color w:val="auto"/>
          <w:szCs w:val="20"/>
        </w:rPr>
        <w:t xml:space="preserve">Os limites utilizados para investimentos em títulos e valores mobiliários de emissão ou coobrigação de uma mesma pessoa jurídica serão os mesmos dispostos na </w:t>
      </w:r>
      <w:r w:rsidR="00802F35" w:rsidRPr="00D66461">
        <w:rPr>
          <w:bCs/>
          <w:color w:val="auto"/>
          <w:szCs w:val="20"/>
        </w:rPr>
        <w:t>Resolução CMN n° 4.963/2021</w:t>
      </w:r>
      <w:r w:rsidRPr="00D66461">
        <w:rPr>
          <w:bCs/>
          <w:color w:val="auto"/>
          <w:szCs w:val="20"/>
        </w:rPr>
        <w:t>.</w:t>
      </w:r>
    </w:p>
    <w:p w14:paraId="540BD8FA" w14:textId="46A3F812" w:rsidR="009E1812" w:rsidRPr="00D66461" w:rsidRDefault="009E1812" w:rsidP="00B62B8E">
      <w:pPr>
        <w:rPr>
          <w:bCs/>
          <w:color w:val="auto"/>
          <w:szCs w:val="20"/>
        </w:rPr>
      </w:pPr>
      <w:r w:rsidRPr="00D66461">
        <w:rPr>
          <w:bCs/>
          <w:color w:val="auto"/>
          <w:szCs w:val="20"/>
        </w:rPr>
        <w:t xml:space="preserve">No que tange ao limite geral de exposição por fundos de investimentos e em cotas de fundos de investimentos, </w:t>
      </w:r>
      <w:r w:rsidRPr="00D66461">
        <w:rPr>
          <w:color w:val="auto"/>
        </w:rPr>
        <w:t>fica o</w:t>
      </w:r>
      <w:r w:rsidRPr="00D66461">
        <w:rPr>
          <w:bCs/>
          <w:color w:val="auto"/>
          <w:szCs w:val="20"/>
        </w:rPr>
        <w:t xml:space="preserve"> </w:t>
      </w:r>
      <w:r w:rsidR="00655C90" w:rsidRPr="00D66461">
        <w:rPr>
          <w:bCs/>
          <w:color w:val="auto"/>
          <w:szCs w:val="20"/>
        </w:rPr>
        <w:t>Instituto de Previdência dos Servidores Públicos do Município de Pitangueiras – PITANPREV</w:t>
      </w:r>
      <w:r w:rsidRPr="00D66461">
        <w:rPr>
          <w:bCs/>
          <w:color w:val="auto"/>
          <w:szCs w:val="20"/>
        </w:rPr>
        <w:t xml:space="preserve"> limitado a </w:t>
      </w:r>
      <w:r w:rsidRPr="00D66461">
        <w:rPr>
          <w:b/>
          <w:color w:val="auto"/>
          <w:szCs w:val="20"/>
        </w:rPr>
        <w:t>20% de exposição</w:t>
      </w:r>
      <w:r w:rsidRPr="00D66461">
        <w:rPr>
          <w:bCs/>
          <w:color w:val="auto"/>
          <w:szCs w:val="20"/>
        </w:rPr>
        <w:t xml:space="preserve">, com exceção dada aos fundos de investimentos enquadrados no Art. 7º, inciso </w:t>
      </w:r>
      <w:r w:rsidR="002D44D6" w:rsidRPr="00D66461">
        <w:rPr>
          <w:bCs/>
          <w:color w:val="auto"/>
          <w:szCs w:val="20"/>
        </w:rPr>
        <w:t xml:space="preserve">I, alínea </w:t>
      </w:r>
      <w:r w:rsidRPr="00D66461">
        <w:rPr>
          <w:bCs/>
          <w:color w:val="auto"/>
          <w:szCs w:val="20"/>
        </w:rPr>
        <w:t xml:space="preserve">“b” da Resolução CMN nº </w:t>
      </w:r>
      <w:r w:rsidR="00984021" w:rsidRPr="00D66461">
        <w:rPr>
          <w:bCs/>
          <w:color w:val="auto"/>
          <w:szCs w:val="20"/>
        </w:rPr>
        <w:t>4.963/2021</w:t>
      </w:r>
      <w:r w:rsidRPr="00D66461">
        <w:rPr>
          <w:bCs/>
          <w:color w:val="auto"/>
          <w:szCs w:val="20"/>
        </w:rPr>
        <w:t>.</w:t>
      </w:r>
    </w:p>
    <w:p w14:paraId="658FBFF7" w14:textId="2A0928BF" w:rsidR="009E1812" w:rsidRPr="00D66461" w:rsidRDefault="009E1812" w:rsidP="00B62B8E">
      <w:pPr>
        <w:rPr>
          <w:color w:val="auto"/>
        </w:rPr>
      </w:pPr>
      <w:r w:rsidRPr="00D66461">
        <w:rPr>
          <w:color w:val="auto"/>
        </w:rPr>
        <w:t xml:space="preserve">A exposição do total das aplicações dos recursos do </w:t>
      </w:r>
      <w:r w:rsidR="00655C90" w:rsidRPr="00D66461">
        <w:rPr>
          <w:bCs/>
          <w:color w:val="auto"/>
          <w:szCs w:val="20"/>
        </w:rPr>
        <w:t>Instituto de Previdência dos Servidores Públicos do Município de Pitangueiras – PITANPREV,</w:t>
      </w:r>
      <w:r w:rsidRPr="00D66461">
        <w:rPr>
          <w:color w:val="auto"/>
        </w:rPr>
        <w:t xml:space="preserve"> no patrimônio líquido de um mesmo fundo de investimento </w:t>
      </w:r>
      <w:r w:rsidRPr="00D66461">
        <w:rPr>
          <w:b/>
          <w:bCs/>
          <w:color w:val="auto"/>
        </w:rPr>
        <w:t>limita-se ão em 15% (quinze por cento)</w:t>
      </w:r>
      <w:r w:rsidRPr="00D66461">
        <w:rPr>
          <w:color w:val="auto"/>
        </w:rPr>
        <w:t>. Para os fundos de investimentos classificados como FIDC – Fundos de Investimentos em Direitos Creditórios, Crédito Privado</w:t>
      </w:r>
      <w:r w:rsidR="00943600" w:rsidRPr="00D66461">
        <w:rPr>
          <w:color w:val="auto"/>
        </w:rPr>
        <w:t xml:space="preserve"> e</w:t>
      </w:r>
      <w:r w:rsidRPr="00D66461">
        <w:rPr>
          <w:color w:val="auto"/>
        </w:rPr>
        <w:t xml:space="preserve"> FI de Infraestrutura, a exposição no patrimônio líquido de em um mesmo fundo de investimento </w:t>
      </w:r>
      <w:r w:rsidRPr="00D66461">
        <w:rPr>
          <w:b/>
          <w:bCs/>
          <w:color w:val="auto"/>
        </w:rPr>
        <w:t>limitar-se-ão à 5% (cinco por cento)</w:t>
      </w:r>
      <w:r w:rsidRPr="00D66461">
        <w:rPr>
          <w:color w:val="auto"/>
        </w:rPr>
        <w:t>.</w:t>
      </w:r>
    </w:p>
    <w:p w14:paraId="1CB6E792" w14:textId="6A8FDBD8" w:rsidR="005B55E6" w:rsidRPr="00D66461" w:rsidRDefault="003216D5" w:rsidP="00B62B8E">
      <w:pPr>
        <w:rPr>
          <w:color w:val="auto"/>
        </w:rPr>
      </w:pPr>
      <w:r w:rsidRPr="00D66461">
        <w:rPr>
          <w:color w:val="auto"/>
        </w:rPr>
        <w:t xml:space="preserve">Para </w:t>
      </w:r>
      <w:r w:rsidR="00BF29C0" w:rsidRPr="00D66461">
        <w:rPr>
          <w:color w:val="auto"/>
        </w:rPr>
        <w:t>os fundos de investimentos classificados como FIDC – Fundos de Investimentos em Direitos Creditórios</w:t>
      </w:r>
      <w:r w:rsidR="00872CD2" w:rsidRPr="00D66461">
        <w:rPr>
          <w:color w:val="auto"/>
        </w:rPr>
        <w:t xml:space="preserve">, que fazem parte da carteira de investimentos do </w:t>
      </w:r>
      <w:r w:rsidR="003102DF" w:rsidRPr="00D66461">
        <w:rPr>
          <w:bCs/>
          <w:color w:val="auto"/>
          <w:szCs w:val="20"/>
        </w:rPr>
        <w:t>Instituto de Previdência dos Servidores Públicos do Município de Pitangueiras – PITANPREV</w:t>
      </w:r>
      <w:r w:rsidR="00FF0827" w:rsidRPr="00D66461">
        <w:rPr>
          <w:color w:val="auto"/>
        </w:rPr>
        <w:t xml:space="preserve"> </w:t>
      </w:r>
      <w:r w:rsidR="007E21B8" w:rsidRPr="00D66461">
        <w:rPr>
          <w:color w:val="auto"/>
        </w:rPr>
        <w:t xml:space="preserve">a partir de 1º de janeiro de 2015, o limite estabelecido </w:t>
      </w:r>
      <w:r w:rsidR="00FF0827" w:rsidRPr="00D66461">
        <w:rPr>
          <w:color w:val="auto"/>
        </w:rPr>
        <w:t xml:space="preserve">no parágrafo anterior, deverá ser calculado </w:t>
      </w:r>
      <w:r w:rsidR="00B53C04" w:rsidRPr="00D66461">
        <w:rPr>
          <w:color w:val="auto"/>
        </w:rPr>
        <w:t xml:space="preserve">em proporção </w:t>
      </w:r>
      <w:r w:rsidR="008A17E9" w:rsidRPr="00D66461">
        <w:rPr>
          <w:color w:val="auto"/>
        </w:rPr>
        <w:t>ao</w:t>
      </w:r>
      <w:r w:rsidR="00B53C04" w:rsidRPr="00D66461">
        <w:rPr>
          <w:color w:val="auto"/>
        </w:rPr>
        <w:t xml:space="preserve"> total de cotas </w:t>
      </w:r>
      <w:r w:rsidR="00F74520" w:rsidRPr="00D66461">
        <w:rPr>
          <w:color w:val="auto"/>
        </w:rPr>
        <w:t>da classe sênior e não do total de cotas do fundo</w:t>
      </w:r>
      <w:r w:rsidR="008A17E9" w:rsidRPr="00D66461">
        <w:rPr>
          <w:color w:val="auto"/>
        </w:rPr>
        <w:t xml:space="preserve"> de investimento</w:t>
      </w:r>
      <w:r w:rsidR="00F74520" w:rsidRPr="00D66461">
        <w:rPr>
          <w:color w:val="auto"/>
        </w:rPr>
        <w:t>.</w:t>
      </w:r>
    </w:p>
    <w:p w14:paraId="6B92A06F" w14:textId="2823284E" w:rsidR="00DF59AA" w:rsidRPr="00D66461" w:rsidRDefault="001703D0" w:rsidP="00B62B8E">
      <w:pPr>
        <w:rPr>
          <w:color w:val="auto"/>
        </w:rPr>
      </w:pPr>
      <w:r w:rsidRPr="00D66461">
        <w:rPr>
          <w:color w:val="auto"/>
        </w:rPr>
        <w:t>O total das aplicações dos recursos do</w:t>
      </w:r>
      <w:r w:rsidR="0039643E" w:rsidRPr="00D66461">
        <w:rPr>
          <w:color w:val="auto"/>
        </w:rPr>
        <w:t xml:space="preserve"> </w:t>
      </w:r>
      <w:r w:rsidR="003102DF" w:rsidRPr="00D66461">
        <w:rPr>
          <w:bCs/>
          <w:color w:val="auto"/>
          <w:szCs w:val="20"/>
        </w:rPr>
        <w:t>Instituto de Previdência dos Servidores Públicos do Município de Pitangueiras – PITANPREV</w:t>
      </w:r>
      <w:r w:rsidRPr="00D66461">
        <w:rPr>
          <w:color w:val="auto"/>
        </w:rPr>
        <w:t xml:space="preserve"> em fundos</w:t>
      </w:r>
      <w:r w:rsidR="0039643E" w:rsidRPr="00D66461">
        <w:rPr>
          <w:color w:val="auto"/>
        </w:rPr>
        <w:t xml:space="preserve"> </w:t>
      </w:r>
      <w:r w:rsidRPr="00D66461">
        <w:rPr>
          <w:color w:val="auto"/>
        </w:rPr>
        <w:t xml:space="preserve">de investimento não pode exceder a </w:t>
      </w:r>
      <w:r w:rsidRPr="00D66461">
        <w:rPr>
          <w:b/>
          <w:bCs/>
          <w:color w:val="auto"/>
        </w:rPr>
        <w:t>5% (cinco por cento)</w:t>
      </w:r>
      <w:r w:rsidRPr="00D66461">
        <w:rPr>
          <w:color w:val="auto"/>
        </w:rPr>
        <w:t xml:space="preserve"> do volume total de</w:t>
      </w:r>
      <w:r w:rsidR="0039643E" w:rsidRPr="00D66461">
        <w:rPr>
          <w:color w:val="auto"/>
        </w:rPr>
        <w:t xml:space="preserve"> </w:t>
      </w:r>
      <w:r w:rsidRPr="00D66461">
        <w:rPr>
          <w:color w:val="auto"/>
        </w:rPr>
        <w:t>recursos de terceiros gerido por um mesmo gestor ou por gestoras ligadas ao seu respectivo grupo</w:t>
      </w:r>
      <w:r w:rsidR="0039643E" w:rsidRPr="00D66461">
        <w:rPr>
          <w:color w:val="auto"/>
        </w:rPr>
        <w:t xml:space="preserve"> </w:t>
      </w:r>
      <w:r w:rsidRPr="00D66461">
        <w:rPr>
          <w:color w:val="auto"/>
        </w:rPr>
        <w:t>econômico.</w:t>
      </w:r>
    </w:p>
    <w:p w14:paraId="56C45C11" w14:textId="79C2154E" w:rsidR="009E1812" w:rsidRPr="00D66461" w:rsidRDefault="009E1812" w:rsidP="00B62B8E">
      <w:pPr>
        <w:rPr>
          <w:color w:val="auto"/>
        </w:rPr>
      </w:pPr>
      <w:r w:rsidRPr="00D66461">
        <w:rPr>
          <w:color w:val="auto"/>
        </w:rPr>
        <w:t xml:space="preserve">Na obtenção da Certificação Institucional Pró-Gestão, os limites definidos nesta Política de Investimentos serão elevados gradativamente de acordo com o nível conquistado em consonância com o disposto no art. 7º, </w:t>
      </w:r>
      <w:r w:rsidR="004273EF" w:rsidRPr="00D66461">
        <w:rPr>
          <w:color w:val="auto"/>
        </w:rPr>
        <w:t>§ 7</w:t>
      </w:r>
      <w:r w:rsidRPr="00D66461">
        <w:rPr>
          <w:color w:val="auto"/>
        </w:rPr>
        <w:t>º</w:t>
      </w:r>
      <w:r w:rsidR="004273EF" w:rsidRPr="00D66461">
        <w:rPr>
          <w:color w:val="auto"/>
        </w:rPr>
        <w:t xml:space="preserve">, </w:t>
      </w:r>
      <w:r w:rsidRPr="00D66461">
        <w:rPr>
          <w:color w:val="auto"/>
        </w:rPr>
        <w:t xml:space="preserve">art. 8º, </w:t>
      </w:r>
      <w:r w:rsidR="00EB3C09" w:rsidRPr="00D66461">
        <w:rPr>
          <w:color w:val="auto"/>
        </w:rPr>
        <w:t>§ 3</w:t>
      </w:r>
      <w:r w:rsidRPr="00D66461">
        <w:rPr>
          <w:color w:val="auto"/>
        </w:rPr>
        <w:t>º</w:t>
      </w:r>
      <w:r w:rsidR="0019438D" w:rsidRPr="00D66461">
        <w:rPr>
          <w:color w:val="auto"/>
        </w:rPr>
        <w:t xml:space="preserve"> e art. 10º, § </w:t>
      </w:r>
      <w:r w:rsidR="00261872" w:rsidRPr="00D66461">
        <w:rPr>
          <w:color w:val="auto"/>
        </w:rPr>
        <w:t xml:space="preserve">2º </w:t>
      </w:r>
      <w:r w:rsidRPr="00D66461">
        <w:rPr>
          <w:color w:val="auto"/>
        </w:rPr>
        <w:t>da Resolução CMN nº</w:t>
      </w:r>
      <w:r w:rsidR="00261872" w:rsidRPr="00D66461">
        <w:rPr>
          <w:color w:val="auto"/>
        </w:rPr>
        <w:t>4.963/2021</w:t>
      </w:r>
      <w:r w:rsidRPr="00D66461">
        <w:rPr>
          <w:color w:val="auto"/>
        </w:rPr>
        <w:t>.</w:t>
      </w:r>
    </w:p>
    <w:p w14:paraId="460CE340" w14:textId="77777777" w:rsidR="009E1812" w:rsidRPr="00D66461" w:rsidRDefault="009E1812" w:rsidP="00B62B8E">
      <w:pPr>
        <w:rPr>
          <w:color w:val="auto"/>
        </w:rPr>
      </w:pPr>
      <w:bookmarkStart w:id="37" w:name="_Toc496794768"/>
      <w:bookmarkStart w:id="38" w:name="_Toc496794769"/>
      <w:bookmarkStart w:id="39" w:name="_Toc496794770"/>
      <w:bookmarkStart w:id="40" w:name="_Toc496794771"/>
      <w:bookmarkStart w:id="41" w:name="_Toc496794772"/>
      <w:bookmarkStart w:id="42" w:name="_Toc490036550"/>
      <w:bookmarkEnd w:id="37"/>
      <w:bookmarkEnd w:id="38"/>
      <w:bookmarkEnd w:id="39"/>
      <w:bookmarkEnd w:id="40"/>
      <w:bookmarkEnd w:id="41"/>
      <w:r w:rsidRPr="00D66461">
        <w:rPr>
          <w:color w:val="auto"/>
        </w:rPr>
        <w:t>Em eventual desenquadramento dos limites aqui definidos, o Comitê de Investimentos juntamente com o Gestor dos Recursos, deverão se ater as Políticas de Contingência definidas nesta Política de Investimentos.</w:t>
      </w:r>
    </w:p>
    <w:p w14:paraId="253188DE" w14:textId="2B0D5286" w:rsidR="009E1812" w:rsidRPr="00D66461" w:rsidRDefault="00CE7DF3" w:rsidP="00BB08FE">
      <w:pPr>
        <w:pStyle w:val="Ttulo2"/>
        <w:rPr>
          <w:color w:val="auto"/>
        </w:rPr>
      </w:pPr>
      <w:bookmarkStart w:id="43" w:name="_Toc90997485"/>
      <w:r w:rsidRPr="00D66461">
        <w:rPr>
          <w:color w:val="auto"/>
        </w:rPr>
        <w:t xml:space="preserve">DEMAIS </w:t>
      </w:r>
      <w:r w:rsidR="009E1812" w:rsidRPr="00D66461">
        <w:rPr>
          <w:color w:val="auto"/>
        </w:rPr>
        <w:t>ENQUADRAMENTO</w:t>
      </w:r>
      <w:bookmarkEnd w:id="42"/>
      <w:bookmarkEnd w:id="43"/>
    </w:p>
    <w:p w14:paraId="785C8463" w14:textId="4FAED2CF" w:rsidR="009E1812" w:rsidRPr="00D66461" w:rsidRDefault="009E1812" w:rsidP="00B62B8E">
      <w:pPr>
        <w:rPr>
          <w:color w:val="auto"/>
        </w:rPr>
      </w:pPr>
      <w:r w:rsidRPr="00D66461">
        <w:rPr>
          <w:color w:val="auto"/>
        </w:rPr>
        <w:t xml:space="preserve">O </w:t>
      </w:r>
      <w:r w:rsidR="003102DF" w:rsidRPr="00D66461">
        <w:rPr>
          <w:bCs/>
          <w:color w:val="auto"/>
          <w:szCs w:val="20"/>
        </w:rPr>
        <w:t>Instituto de Previdência dos Servidores Públicos do Município de Pitangueiras - PITANPREV</w:t>
      </w:r>
      <w:r w:rsidRPr="00D66461">
        <w:rPr>
          <w:color w:val="auto"/>
        </w:rPr>
        <w:t xml:space="preserve"> considera todos os limites estipulados </w:t>
      </w:r>
      <w:r w:rsidR="00E43169" w:rsidRPr="00D66461">
        <w:rPr>
          <w:color w:val="auto"/>
        </w:rPr>
        <w:t xml:space="preserve">nesta Política de Investimentos e </w:t>
      </w:r>
      <w:r w:rsidRPr="00D66461">
        <w:rPr>
          <w:color w:val="auto"/>
        </w:rPr>
        <w:t xml:space="preserve">na Resolução CMN n° </w:t>
      </w:r>
      <w:r w:rsidR="00E43169" w:rsidRPr="00D66461">
        <w:rPr>
          <w:color w:val="auto"/>
        </w:rPr>
        <w:t>4.963/2021</w:t>
      </w:r>
      <w:r w:rsidR="00E731B6" w:rsidRPr="00D66461">
        <w:rPr>
          <w:color w:val="auto"/>
        </w:rPr>
        <w:t xml:space="preserve">, destacando </w:t>
      </w:r>
      <w:r w:rsidR="000C603A" w:rsidRPr="00D66461">
        <w:rPr>
          <w:color w:val="auto"/>
        </w:rPr>
        <w:t>especificamente:</w:t>
      </w:r>
    </w:p>
    <w:p w14:paraId="63BC9EEB" w14:textId="77777777" w:rsidR="000130F2" w:rsidRPr="00D66461" w:rsidRDefault="00227C9E" w:rsidP="00B62B8E">
      <w:pPr>
        <w:pStyle w:val="PargrafodaLista"/>
        <w:numPr>
          <w:ilvl w:val="0"/>
          <w:numId w:val="33"/>
        </w:numPr>
        <w:rPr>
          <w:color w:val="auto"/>
        </w:rPr>
      </w:pPr>
      <w:r w:rsidRPr="00D66461">
        <w:rPr>
          <w:color w:val="auto"/>
        </w:rPr>
        <w:t xml:space="preserve">Poderão ser mantidas em carteira de investimentos, por até 180 (cento e oitenta) dias, as aplicações que passem a ficar desenquadradas em relação a </w:t>
      </w:r>
      <w:r w:rsidR="00B23BDA" w:rsidRPr="00D66461">
        <w:rPr>
          <w:color w:val="auto"/>
        </w:rPr>
        <w:t>esta Política de Investimentos e a Resolução CMN nº 4.963/2021</w:t>
      </w:r>
      <w:r w:rsidRPr="00D66461">
        <w:rPr>
          <w:color w:val="auto"/>
        </w:rPr>
        <w:t xml:space="preserve">, desde que seja comprovado que o desenquadramento foi </w:t>
      </w:r>
      <w:r w:rsidRPr="00D66461">
        <w:rPr>
          <w:color w:val="auto"/>
        </w:rPr>
        <w:lastRenderedPageBreak/>
        <w:t>decorrente de situações involuntárias, para as quais não tenha dado causa, e que o seu desinvestimento ocasionaria, comparativamente à sua manutenção, maiores riscos para o atendimento aos princípios</w:t>
      </w:r>
      <w:r w:rsidR="00FB453B" w:rsidRPr="00D66461">
        <w:rPr>
          <w:color w:val="auto"/>
        </w:rPr>
        <w:t xml:space="preserve"> </w:t>
      </w:r>
      <w:r w:rsidR="00CD01FC" w:rsidRPr="00D66461">
        <w:rPr>
          <w:color w:val="auto"/>
        </w:rPr>
        <w:t xml:space="preserve">segurança, rentabilidade, solvência, liquidez, motivação, </w:t>
      </w:r>
      <w:r w:rsidR="00CB2B1E" w:rsidRPr="00D66461">
        <w:rPr>
          <w:color w:val="auto"/>
        </w:rPr>
        <w:t>adequação a natureza de suas obrigações e transparência;</w:t>
      </w:r>
    </w:p>
    <w:p w14:paraId="1310BECA" w14:textId="77777777" w:rsidR="000130F2" w:rsidRPr="00D66461" w:rsidRDefault="000130F2" w:rsidP="000130F2">
      <w:pPr>
        <w:pStyle w:val="PargrafodaLista"/>
        <w:rPr>
          <w:color w:val="auto"/>
        </w:rPr>
      </w:pPr>
    </w:p>
    <w:p w14:paraId="36C171B8" w14:textId="0BC22027" w:rsidR="00EA4FC5" w:rsidRPr="00D66461" w:rsidRDefault="009E1812" w:rsidP="00B62B8E">
      <w:pPr>
        <w:pStyle w:val="PargrafodaLista"/>
        <w:numPr>
          <w:ilvl w:val="0"/>
          <w:numId w:val="33"/>
        </w:numPr>
        <w:rPr>
          <w:color w:val="auto"/>
        </w:rPr>
      </w:pPr>
      <w:r w:rsidRPr="00D66461">
        <w:rPr>
          <w:bCs/>
          <w:color w:val="auto"/>
          <w:szCs w:val="20"/>
        </w:rPr>
        <w:t>Poderão ainda ser mantidas em carteira de investimentos</w:t>
      </w:r>
      <w:r w:rsidR="00FD70B0" w:rsidRPr="00D66461">
        <w:rPr>
          <w:bCs/>
          <w:color w:val="auto"/>
          <w:szCs w:val="20"/>
        </w:rPr>
        <w:t xml:space="preserve">, até seu respectivo </w:t>
      </w:r>
      <w:r w:rsidR="00392141" w:rsidRPr="00D66461">
        <w:rPr>
          <w:bCs/>
          <w:color w:val="auto"/>
          <w:szCs w:val="20"/>
        </w:rPr>
        <w:t>encerramento</w:t>
      </w:r>
      <w:r w:rsidR="00FD70B0" w:rsidRPr="00D66461">
        <w:rPr>
          <w:bCs/>
          <w:color w:val="auto"/>
          <w:szCs w:val="20"/>
        </w:rPr>
        <w:t xml:space="preserve">, </w:t>
      </w:r>
      <w:r w:rsidRPr="00D66461">
        <w:rPr>
          <w:bCs/>
          <w:color w:val="auto"/>
          <w:szCs w:val="20"/>
        </w:rPr>
        <w:t xml:space="preserve">os fundos de investimentos </w:t>
      </w:r>
      <w:r w:rsidR="00197C43" w:rsidRPr="00D66461">
        <w:rPr>
          <w:bCs/>
          <w:color w:val="auto"/>
          <w:szCs w:val="20"/>
        </w:rPr>
        <w:t xml:space="preserve">que apresentem prazos para vencimento, resgate, carência ou </w:t>
      </w:r>
      <w:r w:rsidR="005E1138" w:rsidRPr="00D66461">
        <w:rPr>
          <w:bCs/>
          <w:color w:val="auto"/>
          <w:szCs w:val="20"/>
        </w:rPr>
        <w:t>conversão de cotas superio</w:t>
      </w:r>
      <w:r w:rsidR="00E0582E" w:rsidRPr="00D66461">
        <w:rPr>
          <w:bCs/>
          <w:color w:val="auto"/>
          <w:szCs w:val="20"/>
        </w:rPr>
        <w:t>r a</w:t>
      </w:r>
      <w:r w:rsidR="005E1138" w:rsidRPr="00D66461">
        <w:rPr>
          <w:bCs/>
          <w:color w:val="auto"/>
          <w:szCs w:val="20"/>
        </w:rPr>
        <w:t xml:space="preserve"> </w:t>
      </w:r>
      <w:r w:rsidR="005E1138" w:rsidRPr="00D66461">
        <w:rPr>
          <w:color w:val="auto"/>
        </w:rPr>
        <w:t>180 (cento e oitenta) dias</w:t>
      </w:r>
      <w:r w:rsidR="00EA4FC5" w:rsidRPr="00D66461">
        <w:rPr>
          <w:bCs/>
          <w:color w:val="auto"/>
          <w:szCs w:val="20"/>
        </w:rPr>
        <w:t xml:space="preserve">, </w:t>
      </w:r>
      <w:r w:rsidR="00FD70B0" w:rsidRPr="00D66461">
        <w:rPr>
          <w:bCs/>
          <w:color w:val="auto"/>
          <w:szCs w:val="20"/>
        </w:rPr>
        <w:t xml:space="preserve">estando o </w:t>
      </w:r>
      <w:r w:rsidR="003102DF" w:rsidRPr="00D66461">
        <w:rPr>
          <w:bCs/>
          <w:color w:val="auto"/>
          <w:szCs w:val="20"/>
        </w:rPr>
        <w:t>Instituto de Previdência dos Servidores Públicos do Município de Pitangueiras - PITANPREV</w:t>
      </w:r>
      <w:r w:rsidR="00FD70B0" w:rsidRPr="00D66461">
        <w:rPr>
          <w:bCs/>
          <w:color w:val="auto"/>
          <w:szCs w:val="20"/>
        </w:rPr>
        <w:t xml:space="preserve"> obrigado </w:t>
      </w:r>
      <w:r w:rsidR="00392141" w:rsidRPr="00D66461">
        <w:rPr>
          <w:bCs/>
          <w:color w:val="auto"/>
          <w:szCs w:val="20"/>
        </w:rPr>
        <w:t>a</w:t>
      </w:r>
      <w:r w:rsidR="00E0582E" w:rsidRPr="00D66461">
        <w:rPr>
          <w:bCs/>
          <w:color w:val="auto"/>
          <w:szCs w:val="20"/>
        </w:rPr>
        <w:t xml:space="preserve"> demonstrar a</w:t>
      </w:r>
      <w:r w:rsidR="00EA4FC5" w:rsidRPr="00D66461">
        <w:rPr>
          <w:bCs/>
          <w:color w:val="auto"/>
          <w:szCs w:val="20"/>
        </w:rPr>
        <w:t xml:space="preserve"> adoção de medidas de melhoria da governança e do controle de riscos na gestão d</w:t>
      </w:r>
      <w:r w:rsidR="0066494F" w:rsidRPr="00D66461">
        <w:rPr>
          <w:bCs/>
          <w:color w:val="auto"/>
          <w:szCs w:val="20"/>
        </w:rPr>
        <w:t>os recursos.</w:t>
      </w:r>
    </w:p>
    <w:p w14:paraId="2B4E192F" w14:textId="77777777" w:rsidR="000130F2" w:rsidRPr="00D66461" w:rsidRDefault="005D2495" w:rsidP="00B62B8E">
      <w:pPr>
        <w:rPr>
          <w:bCs/>
          <w:color w:val="auto"/>
          <w:szCs w:val="20"/>
        </w:rPr>
      </w:pPr>
      <w:r w:rsidRPr="00D66461">
        <w:rPr>
          <w:bCs/>
          <w:color w:val="auto"/>
          <w:szCs w:val="20"/>
        </w:rPr>
        <w:t>S</w:t>
      </w:r>
      <w:r w:rsidR="009E1812" w:rsidRPr="00D66461">
        <w:rPr>
          <w:bCs/>
          <w:color w:val="auto"/>
          <w:szCs w:val="20"/>
        </w:rPr>
        <w:t>erão entendidos como</w:t>
      </w:r>
      <w:r w:rsidRPr="00D66461">
        <w:rPr>
          <w:bCs/>
          <w:color w:val="auto"/>
          <w:szCs w:val="20"/>
        </w:rPr>
        <w:t xml:space="preserve"> situações involuntárias</w:t>
      </w:r>
      <w:r w:rsidR="00721C93" w:rsidRPr="00D66461">
        <w:rPr>
          <w:bCs/>
          <w:color w:val="auto"/>
          <w:szCs w:val="20"/>
        </w:rPr>
        <w:t>:</w:t>
      </w:r>
    </w:p>
    <w:p w14:paraId="3FB8D741" w14:textId="77777777" w:rsidR="000130F2" w:rsidRPr="00D66461" w:rsidRDefault="00BA4AF7" w:rsidP="00B62B8E">
      <w:pPr>
        <w:pStyle w:val="PargrafodaLista"/>
        <w:numPr>
          <w:ilvl w:val="0"/>
          <w:numId w:val="34"/>
        </w:numPr>
        <w:rPr>
          <w:bCs/>
          <w:color w:val="auto"/>
          <w:szCs w:val="20"/>
        </w:rPr>
      </w:pPr>
      <w:r w:rsidRPr="00D66461">
        <w:rPr>
          <w:bCs/>
          <w:color w:val="auto"/>
          <w:szCs w:val="20"/>
        </w:rPr>
        <w:t>E</w:t>
      </w:r>
      <w:r w:rsidR="00DD18D2" w:rsidRPr="00D66461">
        <w:rPr>
          <w:bCs/>
          <w:color w:val="auto"/>
          <w:szCs w:val="20"/>
        </w:rPr>
        <w:t>ntrada em vigor de alterações da Resolução vigente;</w:t>
      </w:r>
    </w:p>
    <w:p w14:paraId="32909539" w14:textId="77777777" w:rsidR="000130F2" w:rsidRDefault="000130F2" w:rsidP="000130F2">
      <w:pPr>
        <w:pStyle w:val="PargrafodaLista"/>
        <w:rPr>
          <w:bCs/>
          <w:szCs w:val="20"/>
        </w:rPr>
      </w:pPr>
    </w:p>
    <w:p w14:paraId="7779CB9F" w14:textId="32E9049D" w:rsidR="000130F2" w:rsidRPr="00D66461" w:rsidRDefault="00BA4AF7" w:rsidP="00B62B8E">
      <w:pPr>
        <w:pStyle w:val="PargrafodaLista"/>
        <w:numPr>
          <w:ilvl w:val="0"/>
          <w:numId w:val="34"/>
        </w:numPr>
        <w:rPr>
          <w:bCs/>
          <w:color w:val="auto"/>
          <w:szCs w:val="20"/>
        </w:rPr>
      </w:pPr>
      <w:r w:rsidRPr="00D66461">
        <w:rPr>
          <w:bCs/>
          <w:color w:val="auto"/>
          <w:szCs w:val="20"/>
        </w:rPr>
        <w:t>R</w:t>
      </w:r>
      <w:r w:rsidR="00DD18D2" w:rsidRPr="00D66461">
        <w:rPr>
          <w:bCs/>
          <w:color w:val="auto"/>
          <w:szCs w:val="20"/>
        </w:rPr>
        <w:t>esgate de cotas de fundos de investimento por um outro cotista, nos quais o</w:t>
      </w:r>
      <w:r w:rsidR="00D66461" w:rsidRPr="00D66461">
        <w:rPr>
          <w:bCs/>
          <w:color w:val="auto"/>
          <w:szCs w:val="20"/>
        </w:rPr>
        <w:t xml:space="preserve"> Instituto de Previdência dos Servidores Públicos do Município de Pitangueiras - PITANPREV</w:t>
      </w:r>
      <w:r w:rsidR="00DD18D2" w:rsidRPr="00D66461">
        <w:rPr>
          <w:bCs/>
          <w:color w:val="auto"/>
          <w:szCs w:val="20"/>
        </w:rPr>
        <w:t xml:space="preserve"> </w:t>
      </w:r>
      <w:r w:rsidR="00DD18D2" w:rsidRPr="00D66461">
        <w:rPr>
          <w:b/>
          <w:color w:val="auto"/>
        </w:rPr>
        <w:t xml:space="preserve"> </w:t>
      </w:r>
      <w:r w:rsidR="00DD18D2" w:rsidRPr="00D66461">
        <w:rPr>
          <w:bCs/>
          <w:color w:val="auto"/>
          <w:szCs w:val="20"/>
        </w:rPr>
        <w:t>não efetue novos aportes;</w:t>
      </w:r>
    </w:p>
    <w:p w14:paraId="16859D15" w14:textId="77777777" w:rsidR="000130F2" w:rsidRPr="00D66461" w:rsidRDefault="000130F2" w:rsidP="000130F2">
      <w:pPr>
        <w:pStyle w:val="PargrafodaLista"/>
        <w:rPr>
          <w:bCs/>
          <w:color w:val="auto"/>
          <w:szCs w:val="20"/>
        </w:rPr>
      </w:pPr>
    </w:p>
    <w:p w14:paraId="335BBA66" w14:textId="6705867D" w:rsidR="000130F2" w:rsidRPr="00D66461" w:rsidRDefault="00BA4AF7" w:rsidP="00B62B8E">
      <w:pPr>
        <w:pStyle w:val="PargrafodaLista"/>
        <w:numPr>
          <w:ilvl w:val="0"/>
          <w:numId w:val="34"/>
        </w:numPr>
        <w:rPr>
          <w:bCs/>
          <w:color w:val="auto"/>
          <w:szCs w:val="20"/>
        </w:rPr>
      </w:pPr>
      <w:r w:rsidRPr="00D66461">
        <w:rPr>
          <w:bCs/>
          <w:color w:val="auto"/>
          <w:szCs w:val="20"/>
        </w:rPr>
        <w:t>V</w:t>
      </w:r>
      <w:r w:rsidR="008736C1" w:rsidRPr="00D66461">
        <w:rPr>
          <w:bCs/>
          <w:color w:val="auto"/>
          <w:szCs w:val="20"/>
        </w:rPr>
        <w:t>alorização ou desvalorização d</w:t>
      </w:r>
      <w:r w:rsidR="00C14F7B" w:rsidRPr="00D66461">
        <w:rPr>
          <w:bCs/>
          <w:color w:val="auto"/>
          <w:szCs w:val="20"/>
        </w:rPr>
        <w:t xml:space="preserve">os demais </w:t>
      </w:r>
      <w:r w:rsidR="008736C1" w:rsidRPr="00D66461">
        <w:rPr>
          <w:bCs/>
          <w:color w:val="auto"/>
          <w:szCs w:val="20"/>
        </w:rPr>
        <w:t xml:space="preserve">ativos financeiros </w:t>
      </w:r>
      <w:r w:rsidR="008004B8" w:rsidRPr="00D66461">
        <w:rPr>
          <w:bCs/>
          <w:color w:val="auto"/>
          <w:szCs w:val="20"/>
        </w:rPr>
        <w:t xml:space="preserve">e fundos de investimentos que incorporam a carteira de investimentos do </w:t>
      </w:r>
      <w:r w:rsidR="00D66461" w:rsidRPr="00D66461">
        <w:rPr>
          <w:bCs/>
          <w:color w:val="auto"/>
          <w:szCs w:val="20"/>
        </w:rPr>
        <w:t>Instituto de Previdência dos Servidores Públicos do Município de Pitangueiras - PITANPREV</w:t>
      </w:r>
      <w:r w:rsidR="008736C1" w:rsidRPr="00D66461">
        <w:rPr>
          <w:bCs/>
          <w:color w:val="auto"/>
          <w:szCs w:val="20"/>
        </w:rPr>
        <w:t>;</w:t>
      </w:r>
    </w:p>
    <w:p w14:paraId="610AB963" w14:textId="77777777" w:rsidR="000130F2" w:rsidRPr="00D66461" w:rsidRDefault="000130F2" w:rsidP="000130F2">
      <w:pPr>
        <w:pStyle w:val="PargrafodaLista"/>
        <w:rPr>
          <w:bCs/>
          <w:color w:val="auto"/>
          <w:szCs w:val="20"/>
        </w:rPr>
      </w:pPr>
    </w:p>
    <w:p w14:paraId="0C8A0AA4" w14:textId="51D6D1DC" w:rsidR="000130F2" w:rsidRPr="00D66461" w:rsidRDefault="00BA4AF7" w:rsidP="00B62B8E">
      <w:pPr>
        <w:pStyle w:val="PargrafodaLista"/>
        <w:numPr>
          <w:ilvl w:val="0"/>
          <w:numId w:val="34"/>
        </w:numPr>
        <w:rPr>
          <w:bCs/>
          <w:color w:val="auto"/>
          <w:szCs w:val="20"/>
        </w:rPr>
      </w:pPr>
      <w:r w:rsidRPr="00D66461">
        <w:rPr>
          <w:bCs/>
          <w:color w:val="auto"/>
          <w:szCs w:val="20"/>
        </w:rPr>
        <w:t>Reorganização da estrutura do fundo de investimento em decorrência de incorporação, fusão, cisão e transformação ou de outras deliberações da assembleia geral de cotistas, após as aplicações realizadas pel</w:t>
      </w:r>
      <w:r w:rsidR="003A19E5" w:rsidRPr="00D66461">
        <w:rPr>
          <w:bCs/>
          <w:color w:val="auto"/>
          <w:szCs w:val="20"/>
        </w:rPr>
        <w:t xml:space="preserve">o </w:t>
      </w:r>
      <w:r w:rsidR="00D66461" w:rsidRPr="00D66461">
        <w:rPr>
          <w:bCs/>
          <w:color w:val="auto"/>
          <w:szCs w:val="20"/>
        </w:rPr>
        <w:t>Instituto de Previdência dos Servidores Públicos do Município de Pitangueiras - PITANPREV</w:t>
      </w:r>
      <w:r w:rsidRPr="00D66461">
        <w:rPr>
          <w:bCs/>
          <w:color w:val="auto"/>
          <w:szCs w:val="20"/>
        </w:rPr>
        <w:t>;</w:t>
      </w:r>
    </w:p>
    <w:p w14:paraId="26C6DCB1" w14:textId="77777777" w:rsidR="000130F2" w:rsidRPr="00D66461" w:rsidRDefault="000130F2" w:rsidP="000130F2">
      <w:pPr>
        <w:pStyle w:val="PargrafodaLista"/>
        <w:rPr>
          <w:bCs/>
          <w:color w:val="auto"/>
          <w:szCs w:val="20"/>
        </w:rPr>
      </w:pPr>
    </w:p>
    <w:p w14:paraId="421150FD" w14:textId="40816D6B" w:rsidR="000130F2" w:rsidRPr="00D66461" w:rsidRDefault="009914DA" w:rsidP="00B62B8E">
      <w:pPr>
        <w:pStyle w:val="PargrafodaLista"/>
        <w:numPr>
          <w:ilvl w:val="0"/>
          <w:numId w:val="34"/>
        </w:numPr>
        <w:rPr>
          <w:bCs/>
          <w:color w:val="auto"/>
          <w:szCs w:val="20"/>
        </w:rPr>
      </w:pPr>
      <w:r w:rsidRPr="00D66461">
        <w:rPr>
          <w:bCs/>
          <w:color w:val="auto"/>
          <w:szCs w:val="20"/>
        </w:rPr>
        <w:t>O</w:t>
      </w:r>
      <w:r w:rsidR="00E44FDE" w:rsidRPr="00D66461">
        <w:rPr>
          <w:bCs/>
          <w:color w:val="auto"/>
          <w:szCs w:val="20"/>
        </w:rPr>
        <w:t xml:space="preserve">corrência de eventos de riscos que prejudiquem a formação das reservas e a evolução do patrimônio do </w:t>
      </w:r>
      <w:r w:rsidR="00D66461" w:rsidRPr="00D66461">
        <w:rPr>
          <w:bCs/>
          <w:color w:val="auto"/>
          <w:szCs w:val="20"/>
        </w:rPr>
        <w:t>Instituto de Previdência dos Servidores Públicos do Município de Pitangueiras - PITANPREV</w:t>
      </w:r>
      <w:r w:rsidR="00E44FDE" w:rsidRPr="00D66461">
        <w:rPr>
          <w:bCs/>
          <w:color w:val="auto"/>
          <w:szCs w:val="20"/>
        </w:rPr>
        <w:t xml:space="preserve"> ou quando decorrentes de revisão do plano de custeio e da segregação da ma</w:t>
      </w:r>
      <w:r w:rsidR="003B05F2" w:rsidRPr="00D66461">
        <w:rPr>
          <w:bCs/>
          <w:color w:val="auto"/>
          <w:szCs w:val="20"/>
        </w:rPr>
        <w:t>ssa</w:t>
      </w:r>
      <w:r w:rsidR="00E44FDE" w:rsidRPr="00D66461">
        <w:rPr>
          <w:bCs/>
          <w:color w:val="auto"/>
          <w:szCs w:val="20"/>
        </w:rPr>
        <w:t>;</w:t>
      </w:r>
    </w:p>
    <w:p w14:paraId="2D5CCD02" w14:textId="77777777" w:rsidR="000130F2" w:rsidRPr="000130F2" w:rsidRDefault="000130F2" w:rsidP="000130F2">
      <w:pPr>
        <w:pStyle w:val="PargrafodaLista"/>
        <w:rPr>
          <w:bCs/>
          <w:szCs w:val="20"/>
        </w:rPr>
      </w:pPr>
    </w:p>
    <w:p w14:paraId="75B15FC9" w14:textId="67AC1587" w:rsidR="000130F2" w:rsidRPr="00D66461" w:rsidRDefault="009914DA" w:rsidP="00B62B8E">
      <w:pPr>
        <w:pStyle w:val="PargrafodaLista"/>
        <w:numPr>
          <w:ilvl w:val="0"/>
          <w:numId w:val="34"/>
        </w:numPr>
        <w:rPr>
          <w:bCs/>
          <w:color w:val="auto"/>
          <w:szCs w:val="20"/>
        </w:rPr>
      </w:pPr>
      <w:r w:rsidRPr="00D66461">
        <w:rPr>
          <w:bCs/>
          <w:color w:val="auto"/>
          <w:szCs w:val="20"/>
        </w:rPr>
        <w:t xml:space="preserve">Aplicações efetuadas na aquisição de cotas de fundo de investimento destinado exclusivamente a investidores qualificados ou profissionais, caso o </w:t>
      </w:r>
      <w:r w:rsidR="00D66461" w:rsidRPr="00D66461">
        <w:rPr>
          <w:bCs/>
          <w:color w:val="auto"/>
          <w:szCs w:val="20"/>
        </w:rPr>
        <w:t>Instituto de Previdência dos Servidores Públicos do Município de Pitangueiras - PITANPREV</w:t>
      </w:r>
      <w:r w:rsidRPr="00D66461">
        <w:rPr>
          <w:b/>
          <w:color w:val="auto"/>
        </w:rPr>
        <w:t xml:space="preserve"> </w:t>
      </w:r>
      <w:r w:rsidRPr="00D66461">
        <w:rPr>
          <w:bCs/>
          <w:color w:val="auto"/>
          <w:szCs w:val="20"/>
        </w:rPr>
        <w:t>deixe de atender aos critérios estabelecidos para essa categorização em regulamentação específica; e</w:t>
      </w:r>
    </w:p>
    <w:p w14:paraId="30B49E8D" w14:textId="77777777" w:rsidR="000130F2" w:rsidRPr="00D66461" w:rsidRDefault="000130F2" w:rsidP="000130F2">
      <w:pPr>
        <w:pStyle w:val="PargrafodaLista"/>
        <w:rPr>
          <w:bCs/>
          <w:color w:val="auto"/>
          <w:szCs w:val="20"/>
        </w:rPr>
      </w:pPr>
    </w:p>
    <w:p w14:paraId="79AA342A" w14:textId="087E7093" w:rsidR="00206F8B" w:rsidRPr="00D66461" w:rsidRDefault="00206F8B" w:rsidP="00B62B8E">
      <w:pPr>
        <w:pStyle w:val="PargrafodaLista"/>
        <w:numPr>
          <w:ilvl w:val="0"/>
          <w:numId w:val="34"/>
        </w:numPr>
        <w:rPr>
          <w:bCs/>
          <w:color w:val="auto"/>
          <w:szCs w:val="20"/>
        </w:rPr>
      </w:pPr>
      <w:r w:rsidRPr="00D66461">
        <w:rPr>
          <w:bCs/>
          <w:color w:val="auto"/>
          <w:szCs w:val="20"/>
        </w:rPr>
        <w:t>Aplicações efetuadas em fundos de investimentos ou ativos financeiros que deixarem de observar os requisitos e condições previstos na Resolução CMN nº 4.963/2021.</w:t>
      </w:r>
    </w:p>
    <w:p w14:paraId="7F2791C0" w14:textId="5068AB3A" w:rsidR="009E1812" w:rsidRPr="00D66461" w:rsidRDefault="000875DA" w:rsidP="00B62B8E">
      <w:pPr>
        <w:rPr>
          <w:bCs/>
          <w:color w:val="auto"/>
          <w:szCs w:val="20"/>
        </w:rPr>
      </w:pPr>
      <w:r w:rsidRPr="00D66461">
        <w:rPr>
          <w:bCs/>
          <w:color w:val="auto"/>
          <w:szCs w:val="20"/>
        </w:rPr>
        <w:t xml:space="preserve">Complementarmente ao processo de Credenciamento, </w:t>
      </w:r>
      <w:r w:rsidR="00720DA5" w:rsidRPr="00D66461">
        <w:rPr>
          <w:bCs/>
          <w:color w:val="auto"/>
          <w:szCs w:val="20"/>
        </w:rPr>
        <w:t xml:space="preserve">somente </w:t>
      </w:r>
      <w:r w:rsidR="009E1812" w:rsidRPr="00D66461">
        <w:rPr>
          <w:bCs/>
          <w:color w:val="auto"/>
          <w:szCs w:val="20"/>
        </w:rPr>
        <w:t xml:space="preserve">serão considerados </w:t>
      </w:r>
      <w:r w:rsidR="00720DA5" w:rsidRPr="00D66461">
        <w:rPr>
          <w:bCs/>
          <w:color w:val="auto"/>
          <w:szCs w:val="20"/>
        </w:rPr>
        <w:t xml:space="preserve">aptos </w:t>
      </w:r>
      <w:r w:rsidR="00A335EA" w:rsidRPr="00D66461">
        <w:rPr>
          <w:bCs/>
          <w:color w:val="auto"/>
          <w:szCs w:val="20"/>
        </w:rPr>
        <w:t xml:space="preserve">ou enquadrados </w:t>
      </w:r>
      <w:r w:rsidR="00720DA5" w:rsidRPr="00D66461">
        <w:rPr>
          <w:bCs/>
          <w:color w:val="auto"/>
          <w:szCs w:val="20"/>
        </w:rPr>
        <w:t xml:space="preserve">a receberem recursos do </w:t>
      </w:r>
      <w:r w:rsidR="00D66461" w:rsidRPr="00D66461">
        <w:rPr>
          <w:bCs/>
          <w:color w:val="auto"/>
          <w:szCs w:val="20"/>
        </w:rPr>
        <w:t>Instituto de Previdência dos Servidores Públicos do Município de Pitangueiras - PITANPREV</w:t>
      </w:r>
      <w:r w:rsidR="00166AD3" w:rsidRPr="00D66461">
        <w:rPr>
          <w:bCs/>
          <w:color w:val="auto"/>
          <w:szCs w:val="20"/>
        </w:rPr>
        <w:t xml:space="preserve">, </w:t>
      </w:r>
      <w:r w:rsidR="009E1812" w:rsidRPr="00D66461">
        <w:rPr>
          <w:bCs/>
          <w:color w:val="auto"/>
          <w:szCs w:val="20"/>
        </w:rPr>
        <w:t xml:space="preserve">os fundos de investimento que </w:t>
      </w:r>
      <w:r w:rsidR="00C60BA8" w:rsidRPr="00D66461">
        <w:rPr>
          <w:bCs/>
          <w:color w:val="auto"/>
          <w:szCs w:val="20"/>
        </w:rPr>
        <w:t>possuam</w:t>
      </w:r>
      <w:r w:rsidR="009E1812" w:rsidRPr="00D66461">
        <w:rPr>
          <w:bCs/>
          <w:color w:val="auto"/>
          <w:szCs w:val="20"/>
        </w:rPr>
        <w:t xml:space="preserve"> por prestador</w:t>
      </w:r>
      <w:r w:rsidR="00AB1255" w:rsidRPr="00D66461">
        <w:rPr>
          <w:bCs/>
          <w:color w:val="auto"/>
          <w:szCs w:val="20"/>
        </w:rPr>
        <w:t>es</w:t>
      </w:r>
      <w:r w:rsidR="009E1812" w:rsidRPr="00D66461">
        <w:rPr>
          <w:bCs/>
          <w:color w:val="auto"/>
          <w:szCs w:val="20"/>
        </w:rPr>
        <w:t xml:space="preserve"> de serviços de gestão </w:t>
      </w:r>
      <w:r w:rsidR="00AB1255" w:rsidRPr="00D66461">
        <w:rPr>
          <w:bCs/>
          <w:color w:val="auto"/>
          <w:szCs w:val="20"/>
        </w:rPr>
        <w:t xml:space="preserve">e </w:t>
      </w:r>
      <w:r w:rsidR="009E1812" w:rsidRPr="00D66461">
        <w:rPr>
          <w:bCs/>
          <w:color w:val="auto"/>
          <w:szCs w:val="20"/>
        </w:rPr>
        <w:t>administra</w:t>
      </w:r>
      <w:r w:rsidR="00166AD3" w:rsidRPr="00D66461">
        <w:rPr>
          <w:bCs/>
          <w:color w:val="auto"/>
          <w:szCs w:val="20"/>
        </w:rPr>
        <w:t xml:space="preserve">ção </w:t>
      </w:r>
      <w:r w:rsidR="00AB1255" w:rsidRPr="00D66461">
        <w:rPr>
          <w:bCs/>
          <w:color w:val="auto"/>
          <w:szCs w:val="20"/>
        </w:rPr>
        <w:t xml:space="preserve">de recursos, </w:t>
      </w:r>
      <w:r w:rsidR="00E83819" w:rsidRPr="00D66461">
        <w:rPr>
          <w:bCs/>
          <w:color w:val="auto"/>
          <w:szCs w:val="20"/>
        </w:rPr>
        <w:t xml:space="preserve">as Instituições Financeiras </w:t>
      </w:r>
      <w:r w:rsidR="009E1812" w:rsidRPr="00D66461">
        <w:rPr>
          <w:bCs/>
          <w:color w:val="auto"/>
          <w:szCs w:val="20"/>
        </w:rPr>
        <w:t>que atendem cumulativamente as condições:</w:t>
      </w:r>
    </w:p>
    <w:p w14:paraId="79468845" w14:textId="77777777" w:rsidR="00EC2F83" w:rsidRPr="00D66461" w:rsidRDefault="009E1812" w:rsidP="00B62B8E">
      <w:pPr>
        <w:pStyle w:val="PargrafodaLista"/>
        <w:numPr>
          <w:ilvl w:val="0"/>
          <w:numId w:val="35"/>
        </w:numPr>
        <w:rPr>
          <w:bCs/>
          <w:color w:val="auto"/>
          <w:szCs w:val="20"/>
        </w:rPr>
      </w:pPr>
      <w:r w:rsidRPr="00D66461">
        <w:rPr>
          <w:bCs/>
          <w:color w:val="auto"/>
          <w:szCs w:val="20"/>
        </w:rPr>
        <w:lastRenderedPageBreak/>
        <w:t xml:space="preserve">O administrador </w:t>
      </w:r>
      <w:r w:rsidR="00C60BA8" w:rsidRPr="00D66461">
        <w:rPr>
          <w:bCs/>
          <w:color w:val="auto"/>
          <w:szCs w:val="20"/>
        </w:rPr>
        <w:t>ou</w:t>
      </w:r>
      <w:r w:rsidRPr="00D66461">
        <w:rPr>
          <w:bCs/>
          <w:color w:val="auto"/>
          <w:szCs w:val="20"/>
        </w:rPr>
        <w:t xml:space="preserve"> gestor dos recursos seja instituição autorizada a funcionar pelo Banco Central do Brasil</w:t>
      </w:r>
      <w:r w:rsidR="00C60BA8" w:rsidRPr="00D66461">
        <w:rPr>
          <w:bCs/>
          <w:color w:val="auto"/>
          <w:szCs w:val="20"/>
        </w:rPr>
        <w:t>,</w:t>
      </w:r>
      <w:r w:rsidRPr="00D66461">
        <w:rPr>
          <w:bCs/>
          <w:color w:val="auto"/>
          <w:szCs w:val="20"/>
        </w:rPr>
        <w:t xml:space="preserve"> obrigada a instituir comitê de auditoria e comitê de riscos</w:t>
      </w:r>
      <w:r w:rsidR="00646C22" w:rsidRPr="00D66461">
        <w:rPr>
          <w:bCs/>
          <w:color w:val="auto"/>
          <w:szCs w:val="20"/>
        </w:rPr>
        <w:t xml:space="preserve"> nos termos da regulamentação do Conselho Monetário Nacional</w:t>
      </w:r>
      <w:r w:rsidRPr="00D66461">
        <w:rPr>
          <w:bCs/>
          <w:color w:val="auto"/>
          <w:szCs w:val="20"/>
        </w:rPr>
        <w:t>;</w:t>
      </w:r>
    </w:p>
    <w:p w14:paraId="2D3BC0B1" w14:textId="77777777" w:rsidR="00EC2F83" w:rsidRPr="00D66461" w:rsidRDefault="00EC2F83" w:rsidP="00EC2F83">
      <w:pPr>
        <w:pStyle w:val="PargrafodaLista"/>
        <w:rPr>
          <w:bCs/>
          <w:color w:val="auto"/>
          <w:szCs w:val="20"/>
        </w:rPr>
      </w:pPr>
    </w:p>
    <w:p w14:paraId="704F496E" w14:textId="77777777" w:rsidR="00EC2F83" w:rsidRPr="00D66461" w:rsidRDefault="009E1812" w:rsidP="00B62B8E">
      <w:pPr>
        <w:pStyle w:val="PargrafodaLista"/>
        <w:numPr>
          <w:ilvl w:val="0"/>
          <w:numId w:val="35"/>
        </w:numPr>
        <w:rPr>
          <w:bCs/>
          <w:color w:val="auto"/>
          <w:szCs w:val="20"/>
        </w:rPr>
      </w:pPr>
      <w:r w:rsidRPr="00D66461">
        <w:rPr>
          <w:bCs/>
          <w:color w:val="auto"/>
          <w:szCs w:val="20"/>
        </w:rPr>
        <w:t xml:space="preserve">O administrador do fundo de investimento detenha, no máximo, 50% </w:t>
      </w:r>
      <w:r w:rsidR="00DC1CF9" w:rsidRPr="00D66461">
        <w:rPr>
          <w:bCs/>
          <w:color w:val="auto"/>
          <w:szCs w:val="20"/>
        </w:rPr>
        <w:t>dos recursos sob sua administração oriundos Regimes Próprios de Previdência Social</w:t>
      </w:r>
      <w:r w:rsidRPr="00D66461">
        <w:rPr>
          <w:bCs/>
          <w:color w:val="auto"/>
          <w:szCs w:val="20"/>
        </w:rPr>
        <w:t xml:space="preserve"> e</w:t>
      </w:r>
    </w:p>
    <w:p w14:paraId="2CC0E584" w14:textId="77777777" w:rsidR="00EC2F83" w:rsidRPr="00D66461" w:rsidRDefault="00EC2F83" w:rsidP="00EC2F83">
      <w:pPr>
        <w:pStyle w:val="PargrafodaLista"/>
        <w:rPr>
          <w:bCs/>
          <w:color w:val="auto"/>
          <w:szCs w:val="20"/>
        </w:rPr>
      </w:pPr>
    </w:p>
    <w:p w14:paraId="2DDF7ABC" w14:textId="34EB79CC" w:rsidR="009E1812" w:rsidRPr="00D66461" w:rsidRDefault="009E1812" w:rsidP="00B62B8E">
      <w:pPr>
        <w:pStyle w:val="PargrafodaLista"/>
        <w:numPr>
          <w:ilvl w:val="0"/>
          <w:numId w:val="35"/>
        </w:numPr>
        <w:rPr>
          <w:bCs/>
          <w:color w:val="auto"/>
          <w:szCs w:val="20"/>
        </w:rPr>
      </w:pPr>
      <w:r w:rsidRPr="00D66461">
        <w:rPr>
          <w:bCs/>
          <w:color w:val="auto"/>
          <w:szCs w:val="20"/>
        </w:rPr>
        <w:t>O gestor e o administrador do fundo de investimento tenham sido objeto de prévio credenciamento e que seja considerado pelos responsáveis pela gestão dos recursos do</w:t>
      </w:r>
      <w:r w:rsidR="00787787" w:rsidRPr="00D66461">
        <w:rPr>
          <w:bCs/>
          <w:color w:val="auto"/>
          <w:szCs w:val="20"/>
        </w:rPr>
        <w:t xml:space="preserve"> </w:t>
      </w:r>
      <w:r w:rsidR="00D66461" w:rsidRPr="00D66461">
        <w:rPr>
          <w:bCs/>
          <w:color w:val="auto"/>
          <w:szCs w:val="20"/>
        </w:rPr>
        <w:t>Instituto de Previdência dos Servidores Públicos do Município de Pitangueiras - PITANPREV</w:t>
      </w:r>
      <w:r w:rsidRPr="00D66461">
        <w:rPr>
          <w:bCs/>
          <w:color w:val="auto"/>
          <w:szCs w:val="20"/>
        </w:rPr>
        <w:t xml:space="preserve"> como de boa qualidade de gestão e ambiente de controle de investimento.</w:t>
      </w:r>
    </w:p>
    <w:p w14:paraId="717445DA" w14:textId="7E31DAC0" w:rsidR="009E1812" w:rsidRPr="00D66461" w:rsidRDefault="009E1812" w:rsidP="00B62B8E">
      <w:pPr>
        <w:rPr>
          <w:color w:val="auto"/>
        </w:rPr>
      </w:pPr>
      <w:r w:rsidRPr="00D66461">
        <w:rPr>
          <w:bCs/>
          <w:color w:val="auto"/>
          <w:szCs w:val="20"/>
        </w:rPr>
        <w:t xml:space="preserve">Em atendimento aos requisitos dispostos, deverão ser observados apenas quando da aplicação dos recursos, podendo os fundos de investimentos não enquadrados nos termos acima, permanecer na carteira de investimentos do </w:t>
      </w:r>
      <w:r w:rsidR="00D66461" w:rsidRPr="00D66461">
        <w:rPr>
          <w:bCs/>
          <w:color w:val="auto"/>
          <w:szCs w:val="20"/>
        </w:rPr>
        <w:t>Instituto de Previdência dos Servidores Públicos do Município de Pitangueiras - PITANPREV</w:t>
      </w:r>
      <w:r w:rsidRPr="00D66461">
        <w:rPr>
          <w:color w:val="auto"/>
        </w:rPr>
        <w:t xml:space="preserve"> até seu respectivo resgate ou vencimento.</w:t>
      </w:r>
    </w:p>
    <w:p w14:paraId="14A8A7F2" w14:textId="6F0939E1" w:rsidR="009E1812" w:rsidRPr="00D66461" w:rsidRDefault="009E1812" w:rsidP="00B62B8E">
      <w:pPr>
        <w:rPr>
          <w:color w:val="auto"/>
        </w:rPr>
      </w:pPr>
      <w:r w:rsidRPr="00D66461">
        <w:rPr>
          <w:color w:val="auto"/>
        </w:rPr>
        <w:t xml:space="preserve">Na obtenção da Certificação Institucional Pró-Gestão, não serão considerados desenquadramentos os limites aqui definidos, tendo o </w:t>
      </w:r>
      <w:r w:rsidR="00D66461" w:rsidRPr="00D66461">
        <w:rPr>
          <w:bCs/>
          <w:color w:val="auto"/>
          <w:szCs w:val="20"/>
        </w:rPr>
        <w:t>Instituto de Previdência dos Servidores Públicos do Município de Pitangueiras - PITANPREV</w:t>
      </w:r>
      <w:r w:rsidRPr="00D66461">
        <w:rPr>
          <w:color w:val="auto"/>
        </w:rPr>
        <w:t xml:space="preserve"> prazo de </w:t>
      </w:r>
      <w:r w:rsidRPr="00D66461">
        <w:rPr>
          <w:b/>
          <w:bCs/>
          <w:color w:val="auto"/>
        </w:rPr>
        <w:t>60 (sessenta) dias</w:t>
      </w:r>
      <w:r w:rsidRPr="00D66461">
        <w:rPr>
          <w:color w:val="auto"/>
        </w:rPr>
        <w:t xml:space="preserve"> para revisão e adequação da sua Política de Investimentos em atendimento aos novos limites.</w:t>
      </w:r>
    </w:p>
    <w:p w14:paraId="16709A8E" w14:textId="77777777" w:rsidR="009E1812" w:rsidRPr="00D66461" w:rsidRDefault="009E1812" w:rsidP="00BB08FE">
      <w:pPr>
        <w:pStyle w:val="Ttulo2"/>
        <w:rPr>
          <w:color w:val="auto"/>
        </w:rPr>
      </w:pPr>
      <w:bookmarkStart w:id="44" w:name="_Toc435202745"/>
      <w:bookmarkStart w:id="45" w:name="_Toc490036551"/>
      <w:bookmarkStart w:id="46" w:name="_Toc90997486"/>
      <w:r w:rsidRPr="00D66461">
        <w:rPr>
          <w:color w:val="auto"/>
        </w:rPr>
        <w:t>VEDAÇÕES</w:t>
      </w:r>
      <w:bookmarkEnd w:id="44"/>
      <w:bookmarkEnd w:id="45"/>
      <w:bookmarkEnd w:id="46"/>
    </w:p>
    <w:p w14:paraId="78E5E604" w14:textId="0F42F97C" w:rsidR="009E1812" w:rsidRPr="00D66461" w:rsidRDefault="009E1812" w:rsidP="00B62B8E">
      <w:pPr>
        <w:rPr>
          <w:bCs/>
          <w:color w:val="auto"/>
          <w:szCs w:val="20"/>
        </w:rPr>
      </w:pPr>
      <w:r w:rsidRPr="00D66461">
        <w:rPr>
          <w:bCs/>
          <w:color w:val="auto"/>
          <w:szCs w:val="20"/>
        </w:rPr>
        <w:t xml:space="preserve">O </w:t>
      </w:r>
      <w:r w:rsidR="00540ECF" w:rsidRPr="00D66461">
        <w:rPr>
          <w:bCs/>
          <w:color w:val="auto"/>
          <w:szCs w:val="20"/>
        </w:rPr>
        <w:t xml:space="preserve">Gestor dos Recursos e o </w:t>
      </w:r>
      <w:r w:rsidRPr="00D66461">
        <w:rPr>
          <w:bCs/>
          <w:color w:val="auto"/>
          <w:szCs w:val="20"/>
        </w:rPr>
        <w:t xml:space="preserve">Comitê de Investimento do </w:t>
      </w:r>
      <w:r w:rsidR="00D66461" w:rsidRPr="00D66461">
        <w:rPr>
          <w:bCs/>
          <w:color w:val="auto"/>
          <w:szCs w:val="20"/>
        </w:rPr>
        <w:t>Instituto de Previdência dos Servidores Públicos do Município de Pitangueiras - PITANPREV</w:t>
      </w:r>
      <w:r w:rsidRPr="00D66461">
        <w:rPr>
          <w:bCs/>
          <w:color w:val="auto"/>
          <w:szCs w:val="20"/>
        </w:rPr>
        <w:t xml:space="preserve"> deve</w:t>
      </w:r>
      <w:r w:rsidR="00540ECF" w:rsidRPr="00D66461">
        <w:rPr>
          <w:bCs/>
          <w:color w:val="auto"/>
          <w:szCs w:val="20"/>
        </w:rPr>
        <w:t>rão</w:t>
      </w:r>
      <w:r w:rsidRPr="00D66461">
        <w:rPr>
          <w:bCs/>
          <w:color w:val="auto"/>
          <w:szCs w:val="20"/>
        </w:rPr>
        <w:t xml:space="preserve"> seguir as vedações estabelecidas </w:t>
      </w:r>
      <w:r w:rsidR="00540ECF" w:rsidRPr="00D66461">
        <w:rPr>
          <w:bCs/>
          <w:color w:val="auto"/>
          <w:szCs w:val="20"/>
        </w:rPr>
        <w:t>na</w:t>
      </w:r>
      <w:r w:rsidRPr="00D66461">
        <w:rPr>
          <w:bCs/>
          <w:color w:val="auto"/>
          <w:szCs w:val="20"/>
        </w:rPr>
        <w:t xml:space="preserve"> Resolução CMN n° </w:t>
      </w:r>
      <w:r w:rsidR="00540ECF" w:rsidRPr="00D66461">
        <w:rPr>
          <w:bCs/>
          <w:color w:val="auto"/>
          <w:szCs w:val="20"/>
        </w:rPr>
        <w:t>4.963/2021</w:t>
      </w:r>
      <w:r w:rsidRPr="00D66461">
        <w:rPr>
          <w:bCs/>
          <w:color w:val="auto"/>
          <w:szCs w:val="20"/>
        </w:rPr>
        <w:t>, ficando adicionalmente vedada a aquisição de:</w:t>
      </w:r>
    </w:p>
    <w:p w14:paraId="26B61CA5" w14:textId="6DE417B3" w:rsidR="009E1812" w:rsidRPr="00D66461" w:rsidRDefault="009E1812" w:rsidP="00B62B8E">
      <w:pPr>
        <w:rPr>
          <w:bCs/>
          <w:color w:val="auto"/>
          <w:szCs w:val="20"/>
        </w:rPr>
      </w:pPr>
      <w:r w:rsidRPr="00D66461">
        <w:rPr>
          <w:bCs/>
          <w:color w:val="auto"/>
          <w:szCs w:val="20"/>
        </w:rPr>
        <w:t>Operações compromissadas</w:t>
      </w:r>
      <w:r w:rsidR="003649CA" w:rsidRPr="00D66461">
        <w:rPr>
          <w:bCs/>
          <w:color w:val="auto"/>
          <w:szCs w:val="20"/>
        </w:rPr>
        <w:t xml:space="preserve"> lastreadas em títulos públicos</w:t>
      </w:r>
      <w:r w:rsidR="00C03413" w:rsidRPr="00D66461">
        <w:rPr>
          <w:bCs/>
          <w:color w:val="auto"/>
          <w:szCs w:val="20"/>
        </w:rPr>
        <w:t xml:space="preserve"> e</w:t>
      </w:r>
    </w:p>
    <w:p w14:paraId="4209E9DA" w14:textId="77777777" w:rsidR="009E1812" w:rsidRPr="00D66461" w:rsidRDefault="009E1812" w:rsidP="00B62B8E">
      <w:pPr>
        <w:rPr>
          <w:bCs/>
          <w:color w:val="auto"/>
          <w:szCs w:val="20"/>
        </w:rPr>
      </w:pPr>
      <w:r w:rsidRPr="00D66461">
        <w:rPr>
          <w:bCs/>
          <w:color w:val="auto"/>
          <w:szCs w:val="20"/>
        </w:rPr>
        <w:t>Aquisição de qualquer ativo final, emitido por Instituições Financeiras com alto risco de crédito.</w:t>
      </w:r>
    </w:p>
    <w:p w14:paraId="09FE264B" w14:textId="0F1E4C77" w:rsidR="006B0FB7" w:rsidRPr="00D66461" w:rsidRDefault="006B0FB7" w:rsidP="00D66461">
      <w:pPr>
        <w:rPr>
          <w:b/>
          <w:color w:val="auto"/>
        </w:rPr>
      </w:pPr>
      <w:bookmarkStart w:id="47" w:name="_Toc496794731"/>
      <w:bookmarkStart w:id="48" w:name="_Toc496794732"/>
      <w:bookmarkStart w:id="49" w:name="_Toc496794733"/>
      <w:bookmarkStart w:id="50" w:name="_Toc496794734"/>
      <w:bookmarkStart w:id="51" w:name="_Toc496794735"/>
      <w:bookmarkStart w:id="52" w:name="_Toc496794736"/>
      <w:bookmarkStart w:id="53" w:name="_Toc496794737"/>
      <w:bookmarkStart w:id="54" w:name="_Toc496794738"/>
      <w:bookmarkStart w:id="55" w:name="_Toc496794739"/>
      <w:bookmarkStart w:id="56" w:name="_Toc496794740"/>
      <w:bookmarkStart w:id="57" w:name="_Toc496794741"/>
      <w:bookmarkStart w:id="58" w:name="_Toc496794742"/>
      <w:bookmarkStart w:id="59" w:name="_Toc496794743"/>
      <w:bookmarkStart w:id="60" w:name="_Toc496794744"/>
      <w:bookmarkStart w:id="61" w:name="_Toc496794745"/>
      <w:bookmarkStart w:id="62" w:name="_Toc496794746"/>
      <w:bookmarkStart w:id="63" w:name="_Toc496794747"/>
      <w:bookmarkStart w:id="64" w:name="_Toc496794748"/>
      <w:bookmarkStart w:id="65" w:name="_Toc496794749"/>
      <w:bookmarkStart w:id="66" w:name="_Toc496794750"/>
      <w:bookmarkStart w:id="67" w:name="_Toc496794751"/>
      <w:bookmarkStart w:id="68" w:name="_Toc496794752"/>
      <w:bookmarkStart w:id="69" w:name="_Toc496794753"/>
      <w:bookmarkStart w:id="70" w:name="_Toc496794754"/>
      <w:bookmarkStart w:id="71" w:name="_Toc496794755"/>
      <w:bookmarkStart w:id="72" w:name="_Toc496794756"/>
      <w:bookmarkStart w:id="73" w:name="_Toc496794757"/>
      <w:bookmarkStart w:id="74" w:name="_Toc496794758"/>
      <w:bookmarkStart w:id="75" w:name="_Toc496794759"/>
      <w:bookmarkStart w:id="76" w:name="_Toc496794760"/>
      <w:bookmarkStart w:id="77" w:name="_Toc496794761"/>
      <w:bookmarkStart w:id="78" w:name="_Toc496794762"/>
      <w:bookmarkStart w:id="79" w:name="_Toc496794763"/>
      <w:bookmarkStart w:id="80" w:name="_Toc90997487"/>
      <w:bookmarkEnd w:id="22"/>
      <w:bookmarkEnd w:id="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66461">
        <w:rPr>
          <w:b/>
          <w:color w:val="auto"/>
        </w:rPr>
        <w:t>CONTROLE DE RISCO</w:t>
      </w:r>
      <w:bookmarkEnd w:id="24"/>
      <w:bookmarkEnd w:id="25"/>
      <w:bookmarkEnd w:id="80"/>
    </w:p>
    <w:p w14:paraId="760FC982" w14:textId="0CB41C8F" w:rsidR="006B0FB7" w:rsidRPr="00D66461" w:rsidRDefault="002C6BCD" w:rsidP="00EC2F83">
      <w:pPr>
        <w:rPr>
          <w:color w:val="auto"/>
        </w:rPr>
      </w:pPr>
      <w:r w:rsidRPr="00D66461">
        <w:rPr>
          <w:bCs/>
          <w:color w:val="auto"/>
          <w:szCs w:val="20"/>
        </w:rPr>
        <w:t xml:space="preserve">As </w:t>
      </w:r>
      <w:r w:rsidR="006B0FB7" w:rsidRPr="00D66461">
        <w:rPr>
          <w:bCs/>
          <w:color w:val="auto"/>
          <w:szCs w:val="20"/>
        </w:rPr>
        <w:t>aplicaç</w:t>
      </w:r>
      <w:r w:rsidRPr="00D66461">
        <w:rPr>
          <w:bCs/>
          <w:color w:val="auto"/>
          <w:szCs w:val="20"/>
        </w:rPr>
        <w:t>ões</w:t>
      </w:r>
      <w:r w:rsidR="006B0FB7" w:rsidRPr="00D66461">
        <w:rPr>
          <w:bCs/>
          <w:color w:val="auto"/>
          <w:szCs w:val="20"/>
        </w:rPr>
        <w:t xml:space="preserve"> financeira</w:t>
      </w:r>
      <w:r w:rsidRPr="00D66461">
        <w:rPr>
          <w:bCs/>
          <w:color w:val="auto"/>
          <w:szCs w:val="20"/>
        </w:rPr>
        <w:t>s</w:t>
      </w:r>
      <w:r w:rsidR="006B0FB7" w:rsidRPr="00D66461">
        <w:rPr>
          <w:bCs/>
          <w:color w:val="auto"/>
          <w:szCs w:val="20"/>
        </w:rPr>
        <w:t xml:space="preserve"> est</w:t>
      </w:r>
      <w:r w:rsidR="00E77E7B" w:rsidRPr="00D66461">
        <w:rPr>
          <w:bCs/>
          <w:color w:val="auto"/>
          <w:szCs w:val="20"/>
        </w:rPr>
        <w:t>ão</w:t>
      </w:r>
      <w:r w:rsidR="006B0FB7" w:rsidRPr="00D66461">
        <w:rPr>
          <w:bCs/>
          <w:color w:val="auto"/>
          <w:szCs w:val="20"/>
        </w:rPr>
        <w:t xml:space="preserve"> </w:t>
      </w:r>
      <w:r w:rsidR="00D24E66" w:rsidRPr="00D66461">
        <w:rPr>
          <w:bCs/>
          <w:color w:val="auto"/>
          <w:szCs w:val="20"/>
        </w:rPr>
        <w:t>sujeitas</w:t>
      </w:r>
      <w:r w:rsidR="006B0FB7" w:rsidRPr="00D66461">
        <w:rPr>
          <w:bCs/>
          <w:color w:val="auto"/>
          <w:szCs w:val="20"/>
        </w:rPr>
        <w:t xml:space="preserve"> à incidência de fatores de risco que podem afetar adversamente o seu retorno,</w:t>
      </w:r>
      <w:r w:rsidR="00C975D9" w:rsidRPr="00D66461">
        <w:rPr>
          <w:bCs/>
          <w:color w:val="auto"/>
          <w:szCs w:val="20"/>
        </w:rPr>
        <w:t xml:space="preserve"> e consequentemente, fica o </w:t>
      </w:r>
      <w:r w:rsidR="00D66461" w:rsidRPr="00D66461">
        <w:rPr>
          <w:bCs/>
          <w:color w:val="auto"/>
          <w:szCs w:val="20"/>
        </w:rPr>
        <w:t>Instituto de Previdência dos Servidores Públicos do Município de Pitangueiras - PITANPREV</w:t>
      </w:r>
      <w:r w:rsidR="00C975D9" w:rsidRPr="00D66461">
        <w:rPr>
          <w:color w:val="auto"/>
        </w:rPr>
        <w:t xml:space="preserve"> obrigad</w:t>
      </w:r>
      <w:r w:rsidR="002917B3" w:rsidRPr="00D66461">
        <w:rPr>
          <w:color w:val="auto"/>
        </w:rPr>
        <w:t>o</w:t>
      </w:r>
      <w:r w:rsidR="00C975D9" w:rsidRPr="00D66461">
        <w:rPr>
          <w:color w:val="auto"/>
        </w:rPr>
        <w:t xml:space="preserve"> a exercer o acompanhamento e o controle sobre esses riscos,</w:t>
      </w:r>
      <w:r w:rsidR="00E8354C" w:rsidRPr="00D66461">
        <w:rPr>
          <w:color w:val="auto"/>
        </w:rPr>
        <w:t xml:space="preserve"> </w:t>
      </w:r>
      <w:r w:rsidR="00C975D9" w:rsidRPr="00D66461">
        <w:rPr>
          <w:color w:val="auto"/>
        </w:rPr>
        <w:t>considerando</w:t>
      </w:r>
      <w:r w:rsidR="006B0FB7" w:rsidRPr="00D66461">
        <w:rPr>
          <w:color w:val="auto"/>
        </w:rPr>
        <w:t xml:space="preserve"> entre eles:</w:t>
      </w:r>
    </w:p>
    <w:p w14:paraId="56B27E41" w14:textId="77777777" w:rsidR="006B0FB7" w:rsidRPr="00D66461" w:rsidRDefault="006B0FB7" w:rsidP="00EC2F83">
      <w:pPr>
        <w:ind w:left="1134"/>
        <w:rPr>
          <w:bCs/>
          <w:color w:val="auto"/>
          <w:szCs w:val="20"/>
        </w:rPr>
      </w:pPr>
      <w:r w:rsidRPr="00D66461">
        <w:rPr>
          <w:b/>
          <w:bCs/>
          <w:color w:val="auto"/>
          <w:szCs w:val="20"/>
        </w:rPr>
        <w:t>Risco de Mercado</w:t>
      </w:r>
      <w:r w:rsidRPr="00D66461">
        <w:rPr>
          <w:bCs/>
          <w:color w:val="auto"/>
          <w:szCs w:val="20"/>
        </w:rPr>
        <w:t xml:space="preserve">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taxa de juros, preços de ações e outros índices. É ligado às oscilações do mercado financeiro.</w:t>
      </w:r>
    </w:p>
    <w:p w14:paraId="6774AE0B" w14:textId="77777777" w:rsidR="009C66AE" w:rsidRPr="00D66461" w:rsidRDefault="006B0FB7" w:rsidP="00EC2F83">
      <w:pPr>
        <w:ind w:left="1134"/>
        <w:rPr>
          <w:bCs/>
          <w:color w:val="auto"/>
          <w:szCs w:val="20"/>
        </w:rPr>
      </w:pPr>
      <w:r w:rsidRPr="00D66461">
        <w:rPr>
          <w:b/>
          <w:bCs/>
          <w:color w:val="auto"/>
          <w:szCs w:val="20"/>
        </w:rPr>
        <w:t>Risco de Crédito</w:t>
      </w:r>
      <w:r w:rsidRPr="00D66461">
        <w:rPr>
          <w:bCs/>
          <w:color w:val="auto"/>
          <w:szCs w:val="20"/>
        </w:rPr>
        <w:t xml:space="preserve"> - também conhecido como risco institucional ou de contraparte, é aquele em que há a possibilidade de o retorno de investimento não ser honrado pela instituição que emitiu determinado título, na data e nas condições negociadas e contratadas;</w:t>
      </w:r>
    </w:p>
    <w:p w14:paraId="3BF88629" w14:textId="5EE9998B" w:rsidR="009C66AE" w:rsidRPr="00D66461" w:rsidRDefault="006B0FB7" w:rsidP="00EC2F83">
      <w:pPr>
        <w:ind w:left="1134"/>
        <w:rPr>
          <w:bCs/>
          <w:color w:val="auto"/>
          <w:szCs w:val="20"/>
        </w:rPr>
      </w:pPr>
      <w:r w:rsidRPr="00D66461">
        <w:rPr>
          <w:b/>
          <w:bCs/>
          <w:color w:val="auto"/>
          <w:szCs w:val="20"/>
        </w:rPr>
        <w:lastRenderedPageBreak/>
        <w:t>Risco de Liquidez</w:t>
      </w:r>
      <w:r w:rsidRPr="00D66461">
        <w:rPr>
          <w:bCs/>
          <w:color w:val="auto"/>
          <w:szCs w:val="20"/>
        </w:rPr>
        <w:t xml:space="preserve">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bookmarkStart w:id="81" w:name="_Toc435189693"/>
      <w:bookmarkStart w:id="82" w:name="_Toc435202751"/>
      <w:bookmarkStart w:id="83" w:name="_Toc490036557"/>
      <w:r w:rsidR="009C66AE" w:rsidRPr="00D66461">
        <w:rPr>
          <w:color w:val="auto"/>
        </w:rPr>
        <w:t>.</w:t>
      </w:r>
    </w:p>
    <w:p w14:paraId="7B916BA5" w14:textId="3437085D" w:rsidR="006B0FB7" w:rsidRPr="009C66AE" w:rsidRDefault="006B0FB7" w:rsidP="00BB08FE">
      <w:pPr>
        <w:pStyle w:val="Ttulo2"/>
      </w:pPr>
      <w:bookmarkStart w:id="84" w:name="_Toc90997488"/>
      <w:r w:rsidRPr="00516AB2">
        <w:t>C</w:t>
      </w:r>
      <w:bookmarkEnd w:id="81"/>
      <w:r w:rsidRPr="00516AB2">
        <w:t>ONTROLE DO RISCO DE MERCADO</w:t>
      </w:r>
      <w:bookmarkEnd w:id="82"/>
      <w:bookmarkEnd w:id="83"/>
      <w:bookmarkEnd w:id="84"/>
    </w:p>
    <w:p w14:paraId="14DBA536" w14:textId="101C0409" w:rsidR="006B0FB7" w:rsidRPr="00D66461" w:rsidRDefault="006B0FB7" w:rsidP="00EC2F83">
      <w:pPr>
        <w:rPr>
          <w:bCs/>
          <w:color w:val="auto"/>
          <w:szCs w:val="20"/>
        </w:rPr>
      </w:pPr>
      <w:r w:rsidRPr="00D66461">
        <w:rPr>
          <w:bCs/>
          <w:color w:val="auto"/>
          <w:szCs w:val="20"/>
        </w:rPr>
        <w:t xml:space="preserve">O </w:t>
      </w:r>
      <w:r w:rsidR="00D66461" w:rsidRPr="00D66461">
        <w:rPr>
          <w:bCs/>
          <w:color w:val="auto"/>
          <w:szCs w:val="20"/>
        </w:rPr>
        <w:t>Instituto de Previdência dos Servidores Públicos do Município de Pitangueiras - PITANPREV</w:t>
      </w:r>
      <w:r w:rsidRPr="00D66461">
        <w:rPr>
          <w:bCs/>
          <w:color w:val="auto"/>
          <w:szCs w:val="20"/>
        </w:rPr>
        <w:t xml:space="preserve"> adota o </w:t>
      </w:r>
      <w:r w:rsidRPr="00D66461">
        <w:rPr>
          <w:b/>
          <w:bCs/>
          <w:color w:val="auto"/>
          <w:szCs w:val="20"/>
        </w:rPr>
        <w:t xml:space="preserve">VaR - </w:t>
      </w:r>
      <w:r w:rsidRPr="00D66461">
        <w:rPr>
          <w:b/>
          <w:bCs/>
          <w:i/>
          <w:iCs/>
          <w:color w:val="auto"/>
          <w:szCs w:val="20"/>
        </w:rPr>
        <w:t>Value-at-Risk</w:t>
      </w:r>
      <w:r w:rsidRPr="00D66461">
        <w:rPr>
          <w:bCs/>
          <w:color w:val="auto"/>
          <w:szCs w:val="20"/>
        </w:rPr>
        <w:t xml:space="preserve"> para controle do risco de mercado, utilizando os seguintes parâmetros para o cálculo: </w:t>
      </w:r>
    </w:p>
    <w:p w14:paraId="00B10244" w14:textId="77777777" w:rsidR="00EC2F83" w:rsidRPr="00D66461" w:rsidRDefault="006B0FB7" w:rsidP="00EC2F83">
      <w:pPr>
        <w:pStyle w:val="PargrafodaLista"/>
        <w:numPr>
          <w:ilvl w:val="0"/>
          <w:numId w:val="36"/>
        </w:numPr>
        <w:rPr>
          <w:bCs/>
          <w:color w:val="auto"/>
          <w:szCs w:val="20"/>
        </w:rPr>
      </w:pPr>
      <w:r w:rsidRPr="00D66461">
        <w:rPr>
          <w:bCs/>
          <w:color w:val="auto"/>
          <w:szCs w:val="20"/>
        </w:rPr>
        <w:t>Modelo paramétrico;</w:t>
      </w:r>
    </w:p>
    <w:p w14:paraId="2FA23F66" w14:textId="77777777" w:rsidR="00EC2F83" w:rsidRPr="00D66461" w:rsidRDefault="006B0FB7" w:rsidP="00EC2F83">
      <w:pPr>
        <w:pStyle w:val="PargrafodaLista"/>
        <w:numPr>
          <w:ilvl w:val="0"/>
          <w:numId w:val="36"/>
        </w:numPr>
        <w:rPr>
          <w:bCs/>
          <w:color w:val="auto"/>
          <w:szCs w:val="20"/>
        </w:rPr>
      </w:pPr>
      <w:r w:rsidRPr="00D66461">
        <w:rPr>
          <w:bCs/>
          <w:color w:val="auto"/>
          <w:szCs w:val="20"/>
        </w:rPr>
        <w:t>Intervalo de confiança de 95% (noventa e cinco por cento);</w:t>
      </w:r>
    </w:p>
    <w:p w14:paraId="569991F8" w14:textId="0A1DADD3" w:rsidR="006B0FB7" w:rsidRPr="00D66461" w:rsidRDefault="006B0FB7" w:rsidP="00EC2F83">
      <w:pPr>
        <w:pStyle w:val="PargrafodaLista"/>
        <w:numPr>
          <w:ilvl w:val="0"/>
          <w:numId w:val="36"/>
        </w:numPr>
        <w:rPr>
          <w:bCs/>
          <w:color w:val="auto"/>
          <w:szCs w:val="20"/>
        </w:rPr>
      </w:pPr>
      <w:r w:rsidRPr="00D66461">
        <w:rPr>
          <w:bCs/>
          <w:color w:val="auto"/>
          <w:szCs w:val="20"/>
        </w:rPr>
        <w:t>Horizonte temporal de 21 dias úteis.</w:t>
      </w:r>
    </w:p>
    <w:p w14:paraId="5C81AB50" w14:textId="1221CBA7" w:rsidR="006B0FB7" w:rsidRPr="00D66461" w:rsidRDefault="006B0FB7" w:rsidP="00EC2F83">
      <w:pPr>
        <w:rPr>
          <w:bCs/>
          <w:color w:val="auto"/>
          <w:szCs w:val="20"/>
        </w:rPr>
      </w:pPr>
      <w:r w:rsidRPr="00D66461">
        <w:rPr>
          <w:bCs/>
          <w:color w:val="auto"/>
          <w:szCs w:val="20"/>
        </w:rPr>
        <w:t xml:space="preserve">Como parâmetro de monitoramento para controle do risco de mercado dos ativos que compõe a carteira, os membros do Comitê de Investimentos </w:t>
      </w:r>
      <w:r w:rsidR="00215BF7" w:rsidRPr="00D66461">
        <w:rPr>
          <w:bCs/>
          <w:color w:val="auto"/>
          <w:szCs w:val="20"/>
        </w:rPr>
        <w:t xml:space="preserve">e o Gestor dos Recursos </w:t>
      </w:r>
      <w:r w:rsidRPr="00D66461">
        <w:rPr>
          <w:bCs/>
          <w:color w:val="auto"/>
          <w:szCs w:val="20"/>
        </w:rPr>
        <w:t>deverão observar as referências abaixo estabelecidas e realizar reavaliação destes ativos sempre que as referências pré-estabelecidas forem ultrapassadas.</w:t>
      </w:r>
    </w:p>
    <w:p w14:paraId="048BC818" w14:textId="77777777" w:rsidR="00EC2F83" w:rsidRPr="00D66461" w:rsidRDefault="000E1CEA" w:rsidP="00EC2F83">
      <w:pPr>
        <w:pStyle w:val="PargrafodaLista"/>
        <w:numPr>
          <w:ilvl w:val="0"/>
          <w:numId w:val="37"/>
        </w:numPr>
        <w:rPr>
          <w:bCs/>
          <w:color w:val="auto"/>
          <w:szCs w:val="20"/>
        </w:rPr>
      </w:pPr>
      <w:r w:rsidRPr="00D66461">
        <w:rPr>
          <w:bCs/>
          <w:color w:val="auto"/>
          <w:szCs w:val="20"/>
        </w:rPr>
        <w:t>Segmento de Renda Fixa:</w:t>
      </w:r>
      <w:r w:rsidR="00A57819" w:rsidRPr="00D66461">
        <w:rPr>
          <w:bCs/>
          <w:color w:val="auto"/>
          <w:szCs w:val="20"/>
        </w:rPr>
        <w:t xml:space="preserve"> </w:t>
      </w:r>
      <w:r w:rsidR="00C10896" w:rsidRPr="00D66461">
        <w:rPr>
          <w:b/>
          <w:color w:val="auto"/>
          <w:szCs w:val="20"/>
        </w:rPr>
        <w:t>3,97</w:t>
      </w:r>
      <w:r w:rsidR="00265547" w:rsidRPr="00D66461">
        <w:rPr>
          <w:b/>
          <w:color w:val="auto"/>
          <w:szCs w:val="20"/>
        </w:rPr>
        <w:t>%</w:t>
      </w:r>
      <w:r w:rsidR="00265547" w:rsidRPr="00D66461">
        <w:rPr>
          <w:bCs/>
          <w:color w:val="auto"/>
          <w:szCs w:val="20"/>
        </w:rPr>
        <w:t xml:space="preserve"> </w:t>
      </w:r>
      <w:r w:rsidR="006B0FB7" w:rsidRPr="00D66461">
        <w:rPr>
          <w:bCs/>
          <w:color w:val="auto"/>
          <w:szCs w:val="20"/>
        </w:rPr>
        <w:t>do valor alocado neste segmento</w:t>
      </w:r>
      <w:r w:rsidR="00EC2F83" w:rsidRPr="00D66461">
        <w:rPr>
          <w:bCs/>
          <w:color w:val="auto"/>
          <w:szCs w:val="20"/>
        </w:rPr>
        <w:t>;</w:t>
      </w:r>
    </w:p>
    <w:p w14:paraId="7F28D5ED" w14:textId="2F1D8852" w:rsidR="00D62A5D" w:rsidRPr="00D66461" w:rsidRDefault="006B0FB7" w:rsidP="00EC2F83">
      <w:pPr>
        <w:pStyle w:val="PargrafodaLista"/>
        <w:numPr>
          <w:ilvl w:val="0"/>
          <w:numId w:val="37"/>
        </w:numPr>
        <w:rPr>
          <w:bCs/>
          <w:color w:val="auto"/>
          <w:szCs w:val="20"/>
        </w:rPr>
      </w:pPr>
      <w:r w:rsidRPr="00D66461">
        <w:rPr>
          <w:bCs/>
          <w:color w:val="auto"/>
          <w:szCs w:val="20"/>
        </w:rPr>
        <w:t>Segment</w:t>
      </w:r>
      <w:r w:rsidR="000E1CEA" w:rsidRPr="00D66461">
        <w:rPr>
          <w:bCs/>
          <w:color w:val="auto"/>
          <w:szCs w:val="20"/>
        </w:rPr>
        <w:t>o de Renda Variável</w:t>
      </w:r>
      <w:r w:rsidR="006E1F51" w:rsidRPr="00D66461">
        <w:rPr>
          <w:bCs/>
          <w:color w:val="auto"/>
          <w:szCs w:val="20"/>
        </w:rPr>
        <w:t xml:space="preserve"> e Estruturados</w:t>
      </w:r>
      <w:r w:rsidR="000E1CEA" w:rsidRPr="00D66461">
        <w:rPr>
          <w:bCs/>
          <w:color w:val="auto"/>
          <w:szCs w:val="20"/>
        </w:rPr>
        <w:t>:</w:t>
      </w:r>
      <w:r w:rsidR="00265547" w:rsidRPr="00D66461">
        <w:rPr>
          <w:bCs/>
          <w:color w:val="auto"/>
          <w:szCs w:val="20"/>
        </w:rPr>
        <w:t xml:space="preserve"> </w:t>
      </w:r>
      <w:r w:rsidR="00C10896" w:rsidRPr="00D66461">
        <w:rPr>
          <w:b/>
          <w:color w:val="auto"/>
          <w:szCs w:val="20"/>
        </w:rPr>
        <w:t>23,42</w:t>
      </w:r>
      <w:r w:rsidR="00265547" w:rsidRPr="00D66461">
        <w:rPr>
          <w:b/>
          <w:color w:val="auto"/>
          <w:szCs w:val="20"/>
        </w:rPr>
        <w:t>%</w:t>
      </w:r>
      <w:r w:rsidR="00A57819" w:rsidRPr="00D66461">
        <w:rPr>
          <w:b/>
          <w:bCs/>
          <w:color w:val="auto"/>
          <w:szCs w:val="20"/>
        </w:rPr>
        <w:t xml:space="preserve"> </w:t>
      </w:r>
      <w:r w:rsidR="009E1812" w:rsidRPr="00D66461">
        <w:rPr>
          <w:bCs/>
          <w:color w:val="auto"/>
          <w:szCs w:val="20"/>
        </w:rPr>
        <w:t>do valor alocado neste segmento</w:t>
      </w:r>
      <w:r w:rsidR="00D62A5D" w:rsidRPr="00D66461">
        <w:rPr>
          <w:bCs/>
          <w:color w:val="auto"/>
          <w:szCs w:val="20"/>
        </w:rPr>
        <w:t xml:space="preserve"> e</w:t>
      </w:r>
    </w:p>
    <w:p w14:paraId="5F1DFA7E" w14:textId="754BFCA9" w:rsidR="009E1812" w:rsidRPr="00D66461" w:rsidRDefault="009E1812" w:rsidP="00EC2F83">
      <w:pPr>
        <w:pStyle w:val="PargrafodaLista"/>
        <w:numPr>
          <w:ilvl w:val="0"/>
          <w:numId w:val="37"/>
        </w:numPr>
        <w:rPr>
          <w:bCs/>
          <w:color w:val="auto"/>
          <w:szCs w:val="20"/>
        </w:rPr>
      </w:pPr>
      <w:r w:rsidRPr="00D66461">
        <w:rPr>
          <w:bCs/>
          <w:color w:val="auto"/>
          <w:szCs w:val="20"/>
        </w:rPr>
        <w:t xml:space="preserve">Segmento de Investimento no Exterior </w:t>
      </w:r>
      <w:r w:rsidR="00C10896" w:rsidRPr="00D66461">
        <w:rPr>
          <w:b/>
          <w:color w:val="auto"/>
          <w:szCs w:val="20"/>
        </w:rPr>
        <w:t>23,25</w:t>
      </w:r>
      <w:r w:rsidRPr="00D66461">
        <w:rPr>
          <w:b/>
          <w:color w:val="auto"/>
          <w:szCs w:val="20"/>
        </w:rPr>
        <w:t>%</w:t>
      </w:r>
      <w:r w:rsidRPr="00D66461">
        <w:rPr>
          <w:bCs/>
          <w:color w:val="auto"/>
          <w:szCs w:val="20"/>
        </w:rPr>
        <w:t xml:space="preserve"> do valor alocado nesse segmento </w:t>
      </w:r>
    </w:p>
    <w:p w14:paraId="0891E937" w14:textId="2BD591E1" w:rsidR="006B0FB7" w:rsidRPr="00D66461" w:rsidRDefault="006B0FB7" w:rsidP="00EC2F83">
      <w:pPr>
        <w:rPr>
          <w:bCs/>
          <w:color w:val="auto"/>
          <w:szCs w:val="20"/>
        </w:rPr>
      </w:pPr>
      <w:r w:rsidRPr="00D66461">
        <w:rPr>
          <w:bCs/>
          <w:color w:val="auto"/>
          <w:szCs w:val="20"/>
        </w:rPr>
        <w:t xml:space="preserve">Como instrumento adicional de controle, o </w:t>
      </w:r>
      <w:r w:rsidR="00D66461" w:rsidRPr="00D66461">
        <w:rPr>
          <w:bCs/>
          <w:color w:val="auto"/>
          <w:szCs w:val="20"/>
        </w:rPr>
        <w:t>Instituto de Previdência dos Servidores Públicos do Município de Pitangueiras - PITANPREV</w:t>
      </w:r>
      <w:r w:rsidRPr="00D66461">
        <w:rPr>
          <w:bCs/>
          <w:color w:val="auto"/>
          <w:szCs w:val="20"/>
        </w:rPr>
        <w:t xml:space="preserve"> </w:t>
      </w:r>
      <w:r w:rsidR="00F137BE" w:rsidRPr="00D66461">
        <w:rPr>
          <w:bCs/>
          <w:color w:val="auto"/>
          <w:szCs w:val="20"/>
        </w:rPr>
        <w:t xml:space="preserve">deverá </w:t>
      </w:r>
      <w:r w:rsidRPr="00D66461">
        <w:rPr>
          <w:bCs/>
          <w:color w:val="auto"/>
          <w:szCs w:val="20"/>
        </w:rPr>
        <w:t>monitora</w:t>
      </w:r>
      <w:r w:rsidR="00F137BE" w:rsidRPr="00D66461">
        <w:rPr>
          <w:bCs/>
          <w:color w:val="auto"/>
          <w:szCs w:val="20"/>
        </w:rPr>
        <w:t>r</w:t>
      </w:r>
      <w:r w:rsidRPr="00D66461">
        <w:rPr>
          <w:bCs/>
          <w:color w:val="auto"/>
          <w:szCs w:val="20"/>
        </w:rPr>
        <w:t xml:space="preserve"> a rentabilidade do fundo</w:t>
      </w:r>
      <w:r w:rsidR="00F137BE" w:rsidRPr="00D66461">
        <w:rPr>
          <w:bCs/>
          <w:color w:val="auto"/>
          <w:szCs w:val="20"/>
        </w:rPr>
        <w:t xml:space="preserve"> de investimento</w:t>
      </w:r>
      <w:r w:rsidRPr="00D66461">
        <w:rPr>
          <w:bCs/>
          <w:color w:val="auto"/>
          <w:szCs w:val="20"/>
        </w:rPr>
        <w:t xml:space="preserve"> em janelas temporais (mês, ano, três meses, seis meses, doze meses e vinte e quatro meses), verificando o alinhamento </w:t>
      </w:r>
      <w:r w:rsidR="004A0ABB" w:rsidRPr="00D66461">
        <w:rPr>
          <w:bCs/>
          <w:color w:val="auto"/>
          <w:szCs w:val="20"/>
        </w:rPr>
        <w:t>com</w:t>
      </w:r>
      <w:r w:rsidRPr="00D66461">
        <w:rPr>
          <w:bCs/>
          <w:color w:val="auto"/>
          <w:szCs w:val="20"/>
        </w:rPr>
        <w:t xml:space="preserve"> o</w:t>
      </w:r>
      <w:r w:rsidR="00F137BE" w:rsidRPr="00D66461">
        <w:rPr>
          <w:bCs/>
          <w:color w:val="auto"/>
          <w:szCs w:val="20"/>
        </w:rPr>
        <w:t xml:space="preserve"> </w:t>
      </w:r>
      <w:r w:rsidRPr="00D66461">
        <w:rPr>
          <w:bCs/>
          <w:i/>
          <w:iCs/>
          <w:color w:val="auto"/>
          <w:szCs w:val="20"/>
        </w:rPr>
        <w:t>benchmark</w:t>
      </w:r>
      <w:r w:rsidRPr="00D66461">
        <w:rPr>
          <w:bCs/>
          <w:color w:val="auto"/>
          <w:szCs w:val="20"/>
        </w:rPr>
        <w:t xml:space="preserve"> </w:t>
      </w:r>
      <w:r w:rsidR="005444FB" w:rsidRPr="00D66461">
        <w:rPr>
          <w:bCs/>
          <w:color w:val="auto"/>
          <w:szCs w:val="20"/>
        </w:rPr>
        <w:t xml:space="preserve">de cada ativo. </w:t>
      </w:r>
      <w:r w:rsidRPr="00D66461">
        <w:rPr>
          <w:bCs/>
          <w:color w:val="auto"/>
          <w:szCs w:val="20"/>
        </w:rPr>
        <w:t>Desvios significativos deverão ser avaliados pelos membros do Comitê de Investimentos, que decidirá pela manutenção, ou não, do</w:t>
      </w:r>
      <w:r w:rsidR="00F137BE" w:rsidRPr="00D66461">
        <w:rPr>
          <w:bCs/>
          <w:color w:val="auto"/>
          <w:szCs w:val="20"/>
        </w:rPr>
        <w:t>s</w:t>
      </w:r>
      <w:r w:rsidRPr="00D66461">
        <w:rPr>
          <w:bCs/>
          <w:color w:val="auto"/>
          <w:szCs w:val="20"/>
        </w:rPr>
        <w:t xml:space="preserve"> investimento</w:t>
      </w:r>
      <w:r w:rsidR="00F137BE" w:rsidRPr="00D66461">
        <w:rPr>
          <w:bCs/>
          <w:color w:val="auto"/>
          <w:szCs w:val="20"/>
        </w:rPr>
        <w:t>s</w:t>
      </w:r>
      <w:r w:rsidRPr="00D66461">
        <w:rPr>
          <w:bCs/>
          <w:color w:val="auto"/>
          <w:szCs w:val="20"/>
        </w:rPr>
        <w:t>.</w:t>
      </w:r>
    </w:p>
    <w:p w14:paraId="60AC91E2" w14:textId="77777777" w:rsidR="006B0FB7" w:rsidRPr="00516AB2" w:rsidRDefault="006B0FB7" w:rsidP="00BB08FE">
      <w:pPr>
        <w:pStyle w:val="Ttulo2"/>
      </w:pPr>
      <w:bookmarkStart w:id="85" w:name="_Toc435202752"/>
      <w:bookmarkStart w:id="86" w:name="_Toc490036558"/>
      <w:bookmarkStart w:id="87" w:name="_Toc90997489"/>
      <w:r w:rsidRPr="00516AB2">
        <w:t>CONTROLE DO RISCO DE CRÉDITO</w:t>
      </w:r>
      <w:bookmarkEnd w:id="85"/>
      <w:bookmarkEnd w:id="86"/>
      <w:bookmarkEnd w:id="87"/>
    </w:p>
    <w:p w14:paraId="57658010" w14:textId="60A02A38" w:rsidR="009E30C1" w:rsidRPr="00D66461" w:rsidRDefault="006B0FB7" w:rsidP="00EC2F83">
      <w:pPr>
        <w:rPr>
          <w:bCs/>
          <w:color w:val="auto"/>
          <w:szCs w:val="20"/>
        </w:rPr>
      </w:pPr>
      <w:r w:rsidRPr="00D66461">
        <w:rPr>
          <w:bCs/>
          <w:color w:val="auto"/>
          <w:szCs w:val="20"/>
        </w:rPr>
        <w:t>Na hipótese de aplicação de re</w:t>
      </w:r>
      <w:r w:rsidR="009E30C1" w:rsidRPr="00D66461">
        <w:rPr>
          <w:bCs/>
          <w:color w:val="auto"/>
          <w:szCs w:val="20"/>
        </w:rPr>
        <w:t>cursos financeiros em fundos de investimento</w:t>
      </w:r>
      <w:r w:rsidRPr="00D66461">
        <w:rPr>
          <w:bCs/>
          <w:color w:val="auto"/>
          <w:szCs w:val="20"/>
        </w:rPr>
        <w:t xml:space="preserve"> </w:t>
      </w:r>
      <w:r w:rsidR="009E30C1" w:rsidRPr="00D66461">
        <w:rPr>
          <w:bCs/>
          <w:color w:val="auto"/>
          <w:szCs w:val="20"/>
        </w:rPr>
        <w:t xml:space="preserve">que possuem em sua carteira de investimentos ativos de crédito, subordinam-se que estes </w:t>
      </w:r>
      <w:r w:rsidR="003F6107" w:rsidRPr="00D66461">
        <w:rPr>
          <w:bCs/>
          <w:color w:val="auto"/>
          <w:szCs w:val="20"/>
        </w:rPr>
        <w:t xml:space="preserve">sejam emitidas por companhias abertas devidamente operacionais e registrada; e que </w:t>
      </w:r>
      <w:r w:rsidR="009E30C1" w:rsidRPr="00D66461">
        <w:rPr>
          <w:bCs/>
          <w:color w:val="auto"/>
          <w:szCs w:val="20"/>
        </w:rPr>
        <w:t xml:space="preserve">sejam de baixo risco em classificação efetuada por </w:t>
      </w:r>
      <w:r w:rsidR="003F6107" w:rsidRPr="00D66461">
        <w:rPr>
          <w:bCs/>
          <w:color w:val="auto"/>
          <w:szCs w:val="20"/>
        </w:rPr>
        <w:t>agência classificadora de risco, o que estiverem de acordo com a tabela abaixo:</w:t>
      </w:r>
    </w:p>
    <w:tbl>
      <w:tblPr>
        <w:tblStyle w:val="TabeladeGrade21"/>
        <w:tblW w:w="0" w:type="auto"/>
        <w:jc w:val="center"/>
        <w:tblLook w:val="04A0" w:firstRow="1" w:lastRow="0" w:firstColumn="1" w:lastColumn="0" w:noHBand="0" w:noVBand="1"/>
      </w:tblPr>
      <w:tblGrid>
        <w:gridCol w:w="2646"/>
        <w:gridCol w:w="2599"/>
      </w:tblGrid>
      <w:tr w:rsidR="001B0DDD" w:rsidRPr="006F67AD" w14:paraId="4F2F107D" w14:textId="77777777" w:rsidTr="00F668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A54BCCF" w14:textId="74F3AE26" w:rsidR="001B0DDD" w:rsidRPr="006F67AD" w:rsidRDefault="006F67AD" w:rsidP="006F67AD">
            <w:pPr>
              <w:jc w:val="center"/>
              <w:rPr>
                <w:bCs w:val="0"/>
                <w:sz w:val="16"/>
                <w:szCs w:val="14"/>
              </w:rPr>
            </w:pPr>
            <w:r w:rsidRPr="006F67AD">
              <w:rPr>
                <w:bCs w:val="0"/>
                <w:sz w:val="16"/>
                <w:szCs w:val="14"/>
              </w:rPr>
              <w:t>AGÊNCIA CLASSIFICADOREA DE RISCO</w:t>
            </w:r>
          </w:p>
        </w:tc>
        <w:tc>
          <w:tcPr>
            <w:tcW w:w="2599" w:type="dxa"/>
          </w:tcPr>
          <w:p w14:paraId="4FDC3D78" w14:textId="63CA5779" w:rsidR="001B0DDD" w:rsidRPr="006F67AD" w:rsidRDefault="006F67AD" w:rsidP="006F67AD">
            <w:pPr>
              <w:jc w:val="center"/>
              <w:cnfStyle w:val="100000000000" w:firstRow="1" w:lastRow="0" w:firstColumn="0" w:lastColumn="0" w:oddVBand="0" w:evenVBand="0" w:oddHBand="0" w:evenHBand="0" w:firstRowFirstColumn="0" w:firstRowLastColumn="0" w:lastRowFirstColumn="0" w:lastRowLastColumn="0"/>
              <w:rPr>
                <w:bCs w:val="0"/>
                <w:sz w:val="16"/>
                <w:szCs w:val="14"/>
              </w:rPr>
            </w:pPr>
            <w:r w:rsidRPr="006F67AD">
              <w:rPr>
                <w:bCs w:val="0"/>
                <w:sz w:val="16"/>
                <w:szCs w:val="14"/>
              </w:rPr>
              <w:t>RATING MÍNIMO</w:t>
            </w:r>
          </w:p>
        </w:tc>
      </w:tr>
      <w:tr w:rsidR="00147292" w:rsidRPr="00147292" w14:paraId="1D336CA3" w14:textId="77777777" w:rsidTr="00F668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B987AD4" w14:textId="44D070DC" w:rsidR="001B0DDD" w:rsidRPr="00147292" w:rsidRDefault="00644A63" w:rsidP="00147292">
            <w:pPr>
              <w:jc w:val="center"/>
              <w:rPr>
                <w:bCs w:val="0"/>
                <w:color w:val="404040" w:themeColor="text1" w:themeTint="BF"/>
                <w:sz w:val="16"/>
                <w:szCs w:val="14"/>
              </w:rPr>
            </w:pPr>
            <w:r w:rsidRPr="00147292">
              <w:rPr>
                <w:bCs w:val="0"/>
                <w:color w:val="404040" w:themeColor="text1" w:themeTint="BF"/>
                <w:sz w:val="16"/>
                <w:szCs w:val="14"/>
              </w:rPr>
              <w:t>STANDARD &amp; POOR</w:t>
            </w:r>
            <w:r w:rsidR="00147292" w:rsidRPr="00147292">
              <w:rPr>
                <w:bCs w:val="0"/>
                <w:color w:val="404040" w:themeColor="text1" w:themeTint="BF"/>
                <w:sz w:val="16"/>
                <w:szCs w:val="14"/>
              </w:rPr>
              <w:t>’</w:t>
            </w:r>
            <w:r w:rsidRPr="00147292">
              <w:rPr>
                <w:bCs w:val="0"/>
                <w:color w:val="404040" w:themeColor="text1" w:themeTint="BF"/>
                <w:sz w:val="16"/>
                <w:szCs w:val="14"/>
              </w:rPr>
              <w:t>S</w:t>
            </w:r>
          </w:p>
        </w:tc>
        <w:tc>
          <w:tcPr>
            <w:tcW w:w="2599" w:type="dxa"/>
          </w:tcPr>
          <w:p w14:paraId="03ACF4AE" w14:textId="4091093B" w:rsidR="001B0DDD" w:rsidRPr="00147292" w:rsidRDefault="00147292" w:rsidP="00147292">
            <w:pPr>
              <w:jc w:val="center"/>
              <w:cnfStyle w:val="000000100000" w:firstRow="0" w:lastRow="0" w:firstColumn="0" w:lastColumn="0" w:oddVBand="0" w:evenVBand="0" w:oddHBand="1" w:evenHBand="0" w:firstRowFirstColumn="0" w:firstRowLastColumn="0" w:lastRowFirstColumn="0" w:lastRowLastColumn="0"/>
              <w:rPr>
                <w:b/>
                <w:color w:val="404040" w:themeColor="text1" w:themeTint="BF"/>
                <w:sz w:val="16"/>
                <w:szCs w:val="14"/>
              </w:rPr>
            </w:pPr>
            <w:r w:rsidRPr="00147292">
              <w:rPr>
                <w:b/>
                <w:color w:val="404040" w:themeColor="text1" w:themeTint="BF"/>
                <w:sz w:val="16"/>
                <w:szCs w:val="14"/>
              </w:rPr>
              <w:t>BBB+ (perspectiva estável)</w:t>
            </w:r>
          </w:p>
        </w:tc>
      </w:tr>
      <w:tr w:rsidR="00147292" w:rsidRPr="00147292" w14:paraId="1857F650" w14:textId="77777777" w:rsidTr="00F6683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8DB703F" w14:textId="6F8131B6" w:rsidR="001B0DDD" w:rsidRPr="00147292" w:rsidRDefault="00F66836" w:rsidP="00147292">
            <w:pPr>
              <w:jc w:val="center"/>
              <w:rPr>
                <w:bCs w:val="0"/>
                <w:color w:val="404040" w:themeColor="text1" w:themeTint="BF"/>
                <w:sz w:val="16"/>
                <w:szCs w:val="14"/>
              </w:rPr>
            </w:pPr>
            <w:r>
              <w:rPr>
                <w:bCs w:val="0"/>
                <w:color w:val="404040" w:themeColor="text1" w:themeTint="BF"/>
                <w:sz w:val="16"/>
                <w:szCs w:val="14"/>
              </w:rPr>
              <w:t>MOODY’S</w:t>
            </w:r>
          </w:p>
        </w:tc>
        <w:tc>
          <w:tcPr>
            <w:tcW w:w="2599" w:type="dxa"/>
          </w:tcPr>
          <w:p w14:paraId="756E0237" w14:textId="40D9BA50" w:rsidR="001B0DDD" w:rsidRPr="00147292" w:rsidRDefault="004A28F3" w:rsidP="00147292">
            <w:pPr>
              <w:jc w:val="center"/>
              <w:cnfStyle w:val="000000000000" w:firstRow="0" w:lastRow="0" w:firstColumn="0" w:lastColumn="0" w:oddVBand="0" w:evenVBand="0" w:oddHBand="0" w:evenHBand="0" w:firstRowFirstColumn="0" w:firstRowLastColumn="0" w:lastRowFirstColumn="0" w:lastRowLastColumn="0"/>
              <w:rPr>
                <w:b/>
                <w:color w:val="404040" w:themeColor="text1" w:themeTint="BF"/>
                <w:sz w:val="16"/>
                <w:szCs w:val="14"/>
              </w:rPr>
            </w:pPr>
            <w:r>
              <w:rPr>
                <w:b/>
                <w:color w:val="404040" w:themeColor="text1" w:themeTint="BF"/>
                <w:sz w:val="16"/>
                <w:szCs w:val="14"/>
              </w:rPr>
              <w:t>Baa1 (perspectiva estável)</w:t>
            </w:r>
          </w:p>
        </w:tc>
      </w:tr>
      <w:tr w:rsidR="00147292" w:rsidRPr="00147292" w14:paraId="569FCB3B" w14:textId="77777777" w:rsidTr="00F668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1911822" w14:textId="29017365" w:rsidR="001B0DDD" w:rsidRPr="00147292" w:rsidRDefault="003D2BF6" w:rsidP="00147292">
            <w:pPr>
              <w:jc w:val="center"/>
              <w:rPr>
                <w:bCs w:val="0"/>
                <w:color w:val="404040" w:themeColor="text1" w:themeTint="BF"/>
                <w:sz w:val="16"/>
                <w:szCs w:val="14"/>
              </w:rPr>
            </w:pPr>
            <w:r w:rsidRPr="00AF6A83">
              <w:rPr>
                <w:bCs w:val="0"/>
                <w:color w:val="404040" w:themeColor="text1" w:themeTint="BF"/>
                <w:sz w:val="16"/>
                <w:szCs w:val="14"/>
              </w:rPr>
              <w:t>FITCH RATINGS</w:t>
            </w:r>
          </w:p>
        </w:tc>
        <w:tc>
          <w:tcPr>
            <w:tcW w:w="2599" w:type="dxa"/>
          </w:tcPr>
          <w:p w14:paraId="36578540" w14:textId="2B149D38" w:rsidR="001B0DDD" w:rsidRPr="00147292" w:rsidRDefault="003D2BF6" w:rsidP="00147292">
            <w:pPr>
              <w:jc w:val="center"/>
              <w:cnfStyle w:val="000000100000" w:firstRow="0" w:lastRow="0" w:firstColumn="0" w:lastColumn="0" w:oddVBand="0" w:evenVBand="0" w:oddHBand="1" w:evenHBand="0" w:firstRowFirstColumn="0" w:firstRowLastColumn="0" w:lastRowFirstColumn="0" w:lastRowLastColumn="0"/>
              <w:rPr>
                <w:b/>
                <w:color w:val="404040" w:themeColor="text1" w:themeTint="BF"/>
                <w:sz w:val="16"/>
                <w:szCs w:val="14"/>
              </w:rPr>
            </w:pPr>
            <w:r w:rsidRPr="00147292">
              <w:rPr>
                <w:b/>
                <w:color w:val="404040" w:themeColor="text1" w:themeTint="BF"/>
                <w:sz w:val="16"/>
                <w:szCs w:val="14"/>
              </w:rPr>
              <w:t>BBB+ (perspectiva estável)</w:t>
            </w:r>
          </w:p>
        </w:tc>
      </w:tr>
      <w:tr w:rsidR="00147292" w:rsidRPr="00147292" w14:paraId="5E56800F" w14:textId="77777777" w:rsidTr="00F6683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4479B7" w14:textId="7A9423EB" w:rsidR="001B0DDD" w:rsidRPr="00147292" w:rsidRDefault="003D2BF6" w:rsidP="00147292">
            <w:pPr>
              <w:jc w:val="center"/>
              <w:rPr>
                <w:bCs w:val="0"/>
                <w:color w:val="404040" w:themeColor="text1" w:themeTint="BF"/>
                <w:sz w:val="16"/>
                <w:szCs w:val="14"/>
              </w:rPr>
            </w:pPr>
            <w:r>
              <w:rPr>
                <w:bCs w:val="0"/>
                <w:color w:val="404040" w:themeColor="text1" w:themeTint="BF"/>
                <w:sz w:val="16"/>
                <w:szCs w:val="14"/>
              </w:rPr>
              <w:t>AUSTIN RATING</w:t>
            </w:r>
          </w:p>
        </w:tc>
        <w:tc>
          <w:tcPr>
            <w:tcW w:w="2599" w:type="dxa"/>
          </w:tcPr>
          <w:p w14:paraId="1CFE2ECF" w14:textId="0A07B730" w:rsidR="001B0DDD" w:rsidRPr="00147292" w:rsidRDefault="003D2BF6" w:rsidP="00147292">
            <w:pPr>
              <w:jc w:val="center"/>
              <w:cnfStyle w:val="000000000000" w:firstRow="0" w:lastRow="0" w:firstColumn="0" w:lastColumn="0" w:oddVBand="0" w:evenVBand="0" w:oddHBand="0" w:evenHBand="0" w:firstRowFirstColumn="0" w:firstRowLastColumn="0" w:lastRowFirstColumn="0" w:lastRowLastColumn="0"/>
              <w:rPr>
                <w:b/>
                <w:color w:val="404040" w:themeColor="text1" w:themeTint="BF"/>
                <w:sz w:val="16"/>
                <w:szCs w:val="14"/>
              </w:rPr>
            </w:pPr>
            <w:r>
              <w:rPr>
                <w:b/>
                <w:color w:val="404040" w:themeColor="text1" w:themeTint="BF"/>
                <w:sz w:val="16"/>
                <w:szCs w:val="14"/>
              </w:rPr>
              <w:t xml:space="preserve">A </w:t>
            </w:r>
            <w:r w:rsidR="00172B04" w:rsidRPr="00147292">
              <w:rPr>
                <w:b/>
                <w:color w:val="404040" w:themeColor="text1" w:themeTint="BF"/>
                <w:sz w:val="16"/>
                <w:szCs w:val="14"/>
              </w:rPr>
              <w:t>(perspectiva estável)</w:t>
            </w:r>
          </w:p>
        </w:tc>
      </w:tr>
      <w:tr w:rsidR="00147292" w:rsidRPr="00147292" w14:paraId="02DF8AFA" w14:textId="77777777" w:rsidTr="00F668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4F728B" w14:textId="65DA6343" w:rsidR="001B0DDD" w:rsidRPr="00147292" w:rsidRDefault="009635AC" w:rsidP="00147292">
            <w:pPr>
              <w:jc w:val="center"/>
              <w:rPr>
                <w:bCs w:val="0"/>
                <w:color w:val="404040" w:themeColor="text1" w:themeTint="BF"/>
                <w:sz w:val="16"/>
                <w:szCs w:val="14"/>
              </w:rPr>
            </w:pPr>
            <w:r>
              <w:rPr>
                <w:bCs w:val="0"/>
                <w:color w:val="404040" w:themeColor="text1" w:themeTint="BF"/>
                <w:sz w:val="16"/>
                <w:szCs w:val="14"/>
              </w:rPr>
              <w:t>LF RATING</w:t>
            </w:r>
          </w:p>
        </w:tc>
        <w:tc>
          <w:tcPr>
            <w:tcW w:w="2599" w:type="dxa"/>
          </w:tcPr>
          <w:p w14:paraId="6FEA1975" w14:textId="316F121B" w:rsidR="001B0DDD" w:rsidRPr="00147292" w:rsidRDefault="00172B04" w:rsidP="00147292">
            <w:pPr>
              <w:jc w:val="center"/>
              <w:cnfStyle w:val="000000100000" w:firstRow="0" w:lastRow="0" w:firstColumn="0" w:lastColumn="0" w:oddVBand="0" w:evenVBand="0" w:oddHBand="1" w:evenHBand="0" w:firstRowFirstColumn="0" w:firstRowLastColumn="0" w:lastRowFirstColumn="0" w:lastRowLastColumn="0"/>
              <w:rPr>
                <w:b/>
                <w:color w:val="404040" w:themeColor="text1" w:themeTint="BF"/>
                <w:sz w:val="16"/>
                <w:szCs w:val="14"/>
              </w:rPr>
            </w:pPr>
            <w:r>
              <w:rPr>
                <w:b/>
                <w:color w:val="404040" w:themeColor="text1" w:themeTint="BF"/>
                <w:sz w:val="16"/>
                <w:szCs w:val="14"/>
              </w:rPr>
              <w:t xml:space="preserve">A </w:t>
            </w:r>
            <w:r w:rsidRPr="00147292">
              <w:rPr>
                <w:b/>
                <w:color w:val="404040" w:themeColor="text1" w:themeTint="BF"/>
                <w:sz w:val="16"/>
                <w:szCs w:val="14"/>
              </w:rPr>
              <w:t>(perspectiva estável)</w:t>
            </w:r>
          </w:p>
        </w:tc>
      </w:tr>
      <w:tr w:rsidR="00147292" w:rsidRPr="00147292" w14:paraId="45AFE656" w14:textId="77777777" w:rsidTr="00F6683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E35AD5" w14:textId="3EEE3536" w:rsidR="001B0DDD" w:rsidRPr="00147292" w:rsidRDefault="00CE1C3C" w:rsidP="00147292">
            <w:pPr>
              <w:jc w:val="center"/>
              <w:rPr>
                <w:bCs w:val="0"/>
                <w:color w:val="404040" w:themeColor="text1" w:themeTint="BF"/>
                <w:sz w:val="16"/>
                <w:szCs w:val="14"/>
              </w:rPr>
            </w:pPr>
            <w:r>
              <w:rPr>
                <w:bCs w:val="0"/>
                <w:color w:val="404040" w:themeColor="text1" w:themeTint="BF"/>
                <w:sz w:val="16"/>
                <w:szCs w:val="14"/>
              </w:rPr>
              <w:t>LIBERUM RATING</w:t>
            </w:r>
          </w:p>
        </w:tc>
        <w:tc>
          <w:tcPr>
            <w:tcW w:w="2599" w:type="dxa"/>
          </w:tcPr>
          <w:p w14:paraId="31207832" w14:textId="75A7D40B" w:rsidR="001B0DDD" w:rsidRPr="00147292" w:rsidRDefault="00172B04" w:rsidP="00147292">
            <w:pPr>
              <w:jc w:val="center"/>
              <w:cnfStyle w:val="000000000000" w:firstRow="0" w:lastRow="0" w:firstColumn="0" w:lastColumn="0" w:oddVBand="0" w:evenVBand="0" w:oddHBand="0" w:evenHBand="0" w:firstRowFirstColumn="0" w:firstRowLastColumn="0" w:lastRowFirstColumn="0" w:lastRowLastColumn="0"/>
              <w:rPr>
                <w:b/>
                <w:color w:val="404040" w:themeColor="text1" w:themeTint="BF"/>
                <w:sz w:val="16"/>
                <w:szCs w:val="14"/>
              </w:rPr>
            </w:pPr>
            <w:r>
              <w:rPr>
                <w:b/>
                <w:color w:val="404040" w:themeColor="text1" w:themeTint="BF"/>
                <w:sz w:val="16"/>
                <w:szCs w:val="14"/>
              </w:rPr>
              <w:t xml:space="preserve">A </w:t>
            </w:r>
            <w:r w:rsidRPr="00147292">
              <w:rPr>
                <w:b/>
                <w:color w:val="404040" w:themeColor="text1" w:themeTint="BF"/>
                <w:sz w:val="16"/>
                <w:szCs w:val="14"/>
              </w:rPr>
              <w:t>(perspectiva estável)</w:t>
            </w:r>
          </w:p>
        </w:tc>
      </w:tr>
    </w:tbl>
    <w:p w14:paraId="36121C55" w14:textId="77777777" w:rsidR="006E1F51" w:rsidRDefault="006E1F51" w:rsidP="00D62A5D"/>
    <w:p w14:paraId="44577784" w14:textId="5D05797A" w:rsidR="006B0FB7" w:rsidRPr="00A22044" w:rsidRDefault="006B0FB7" w:rsidP="00D62A5D">
      <w:pPr>
        <w:rPr>
          <w:color w:val="auto"/>
        </w:rPr>
      </w:pPr>
      <w:r w:rsidRPr="00A22044">
        <w:rPr>
          <w:color w:val="auto"/>
        </w:rPr>
        <w:t xml:space="preserve">As agências classificadoras de risco supracitadas estão devidamente </w:t>
      </w:r>
      <w:r w:rsidR="009E30C1" w:rsidRPr="00A22044">
        <w:rPr>
          <w:color w:val="auto"/>
        </w:rPr>
        <w:t>registradas</w:t>
      </w:r>
      <w:r w:rsidR="00527DA1" w:rsidRPr="00A22044">
        <w:rPr>
          <w:color w:val="auto"/>
        </w:rPr>
        <w:t xml:space="preserve"> na </w:t>
      </w:r>
      <w:r w:rsidR="00E069F2" w:rsidRPr="00A22044">
        <w:rPr>
          <w:color w:val="auto"/>
        </w:rPr>
        <w:t xml:space="preserve">Comissão de Valores Mobiliários </w:t>
      </w:r>
      <w:r w:rsidR="00BD7B0D" w:rsidRPr="00A22044">
        <w:rPr>
          <w:color w:val="auto"/>
        </w:rPr>
        <w:t xml:space="preserve">- </w:t>
      </w:r>
      <w:r w:rsidR="00527DA1" w:rsidRPr="00A22044">
        <w:rPr>
          <w:color w:val="auto"/>
        </w:rPr>
        <w:t>CVM e</w:t>
      </w:r>
      <w:r w:rsidR="009E30C1" w:rsidRPr="00A22044">
        <w:rPr>
          <w:color w:val="auto"/>
        </w:rPr>
        <w:t xml:space="preserve"> </w:t>
      </w:r>
      <w:r w:rsidRPr="00A22044">
        <w:rPr>
          <w:color w:val="auto"/>
        </w:rPr>
        <w:t>autorizadas a operar no Brasil</w:t>
      </w:r>
      <w:r w:rsidR="00CB684E" w:rsidRPr="00A22044">
        <w:rPr>
          <w:color w:val="auto"/>
        </w:rPr>
        <w:t>. U</w:t>
      </w:r>
      <w:r w:rsidRPr="00A22044">
        <w:rPr>
          <w:color w:val="auto"/>
        </w:rPr>
        <w:t xml:space="preserve">tilizam o sistema de </w:t>
      </w:r>
      <w:r w:rsidRPr="00A22044">
        <w:rPr>
          <w:i/>
          <w:iCs/>
          <w:color w:val="auto"/>
        </w:rPr>
        <w:t>rating</w:t>
      </w:r>
      <w:r w:rsidRPr="00A22044">
        <w:rPr>
          <w:color w:val="auto"/>
        </w:rPr>
        <w:t xml:space="preserve"> para classificar o nível </w:t>
      </w:r>
      <w:r w:rsidRPr="00A22044">
        <w:rPr>
          <w:color w:val="auto"/>
        </w:rPr>
        <w:lastRenderedPageBreak/>
        <w:t xml:space="preserve">de risco </w:t>
      </w:r>
      <w:r w:rsidR="000A5C64" w:rsidRPr="00A22044">
        <w:rPr>
          <w:color w:val="auto"/>
        </w:rPr>
        <w:t>d</w:t>
      </w:r>
      <w:r w:rsidR="00BD7B0D" w:rsidRPr="00A22044">
        <w:rPr>
          <w:color w:val="auto"/>
        </w:rPr>
        <w:t>as instituições</w:t>
      </w:r>
      <w:r w:rsidR="00DF7B86" w:rsidRPr="00A22044">
        <w:rPr>
          <w:color w:val="auto"/>
        </w:rPr>
        <w:t xml:space="preserve"> financeiras</w:t>
      </w:r>
      <w:r w:rsidRPr="00A22044">
        <w:rPr>
          <w:color w:val="auto"/>
        </w:rPr>
        <w:t xml:space="preserve">, fundo de investimentos e dos ativos </w:t>
      </w:r>
      <w:r w:rsidR="00DF7B86" w:rsidRPr="00A22044">
        <w:rPr>
          <w:color w:val="auto"/>
        </w:rPr>
        <w:t xml:space="preserve">financeiros </w:t>
      </w:r>
      <w:r w:rsidRPr="00A22044">
        <w:rPr>
          <w:color w:val="auto"/>
        </w:rPr>
        <w:t>integrantes</w:t>
      </w:r>
      <w:r w:rsidR="00DF7B86" w:rsidRPr="00A22044">
        <w:rPr>
          <w:color w:val="auto"/>
        </w:rPr>
        <w:t xml:space="preserve"> da carteira de investimentos dos fundos de investimentos ou demais ativos financeiros</w:t>
      </w:r>
      <w:r w:rsidRPr="00A22044">
        <w:rPr>
          <w:color w:val="auto"/>
        </w:rPr>
        <w:t>.</w:t>
      </w:r>
    </w:p>
    <w:p w14:paraId="6A90E5C8" w14:textId="77777777" w:rsidR="006B0FB7" w:rsidRPr="00516AB2" w:rsidRDefault="006B0FB7" w:rsidP="00BB08FE">
      <w:pPr>
        <w:pStyle w:val="Ttulo2"/>
      </w:pPr>
      <w:bookmarkStart w:id="88" w:name="_Toc435189695"/>
      <w:bookmarkStart w:id="89" w:name="_Toc435202753"/>
      <w:bookmarkStart w:id="90" w:name="_Toc490036559"/>
      <w:bookmarkStart w:id="91" w:name="_Toc90997490"/>
      <w:r w:rsidRPr="00516AB2">
        <w:t xml:space="preserve">CONTROLE DO RISCO DE </w:t>
      </w:r>
      <w:bookmarkEnd w:id="88"/>
      <w:r w:rsidRPr="00516AB2">
        <w:t>LIQUIDEZ</w:t>
      </w:r>
      <w:bookmarkEnd w:id="89"/>
      <w:bookmarkEnd w:id="90"/>
      <w:bookmarkEnd w:id="91"/>
      <w:r w:rsidRPr="00516AB2">
        <w:t xml:space="preserve"> </w:t>
      </w:r>
    </w:p>
    <w:p w14:paraId="53CC19E6" w14:textId="7537E8B5" w:rsidR="006B0FB7" w:rsidRPr="00D66461" w:rsidRDefault="006B0FB7" w:rsidP="00D62A5D">
      <w:pPr>
        <w:rPr>
          <w:color w:val="auto"/>
        </w:rPr>
      </w:pPr>
      <w:r w:rsidRPr="00D66461">
        <w:rPr>
          <w:color w:val="auto"/>
        </w:rPr>
        <w:t xml:space="preserve">Nas aplicações em </w:t>
      </w:r>
      <w:r w:rsidR="00A03996" w:rsidRPr="00D66461">
        <w:rPr>
          <w:color w:val="auto"/>
        </w:rPr>
        <w:t xml:space="preserve">ativos financeiros que </w:t>
      </w:r>
      <w:r w:rsidR="00513FAD" w:rsidRPr="00D66461">
        <w:rPr>
          <w:color w:val="auto"/>
        </w:rPr>
        <w:t>tem seu prazo de liquidez superior a</w:t>
      </w:r>
      <w:r w:rsidRPr="00D66461">
        <w:rPr>
          <w:color w:val="auto"/>
        </w:rPr>
        <w:t xml:space="preserve"> 365 </w:t>
      </w:r>
      <w:r w:rsidR="008F4D11" w:rsidRPr="00D66461">
        <w:rPr>
          <w:color w:val="auto"/>
        </w:rPr>
        <w:t xml:space="preserve">(trezentos e sessenta e cinco) </w:t>
      </w:r>
      <w:r w:rsidRPr="00D66461">
        <w:rPr>
          <w:color w:val="auto"/>
        </w:rPr>
        <w:t xml:space="preserve">dias, a aprovação </w:t>
      </w:r>
      <w:r w:rsidR="003A540D" w:rsidRPr="00D66461">
        <w:rPr>
          <w:color w:val="auto"/>
        </w:rPr>
        <w:t xml:space="preserve">de alocação dos recursos </w:t>
      </w:r>
      <w:r w:rsidRPr="00D66461">
        <w:rPr>
          <w:color w:val="auto"/>
        </w:rPr>
        <w:t xml:space="preserve">deverá ser precedida de </w:t>
      </w:r>
      <w:r w:rsidR="00702E1B" w:rsidRPr="00D66461">
        <w:rPr>
          <w:color w:val="auto"/>
        </w:rPr>
        <w:t xml:space="preserve">atestado </w:t>
      </w:r>
      <w:r w:rsidR="008F4D11" w:rsidRPr="00D66461">
        <w:rPr>
          <w:color w:val="auto"/>
        </w:rPr>
        <w:t xml:space="preserve">de compatibilidade </w:t>
      </w:r>
      <w:r w:rsidR="00702E1B" w:rsidRPr="00D66461">
        <w:rPr>
          <w:color w:val="auto"/>
        </w:rPr>
        <w:t>que comprov</w:t>
      </w:r>
      <w:r w:rsidR="003A540D" w:rsidRPr="00D66461">
        <w:rPr>
          <w:color w:val="auto"/>
        </w:rPr>
        <w:t>e</w:t>
      </w:r>
      <w:r w:rsidR="00702E1B" w:rsidRPr="00D66461">
        <w:rPr>
          <w:color w:val="auto"/>
        </w:rPr>
        <w:t xml:space="preserve"> a </w:t>
      </w:r>
      <w:r w:rsidRPr="00D66461">
        <w:rPr>
          <w:color w:val="auto"/>
        </w:rPr>
        <w:t xml:space="preserve">análise </w:t>
      </w:r>
      <w:r w:rsidR="00702E1B" w:rsidRPr="00D66461">
        <w:rPr>
          <w:color w:val="auto"/>
        </w:rPr>
        <w:t xml:space="preserve">de evidenciação quanto </w:t>
      </w:r>
      <w:r w:rsidRPr="00D66461">
        <w:rPr>
          <w:color w:val="auto"/>
        </w:rPr>
        <w:t xml:space="preserve">a capacidade do </w:t>
      </w:r>
      <w:r w:rsidR="00D66461" w:rsidRPr="00D66461">
        <w:rPr>
          <w:bCs/>
          <w:color w:val="auto"/>
          <w:szCs w:val="20"/>
        </w:rPr>
        <w:t>Instituto de Previdência dos Servidores Públicos do Município de Pitangueiras - PITANPREV</w:t>
      </w:r>
      <w:r w:rsidR="00D11EC2" w:rsidRPr="00D66461" w:rsidDel="00D11EC2">
        <w:rPr>
          <w:color w:val="auto"/>
        </w:rPr>
        <w:t xml:space="preserve"> </w:t>
      </w:r>
      <w:r w:rsidRPr="00D66461">
        <w:rPr>
          <w:color w:val="auto"/>
        </w:rPr>
        <w:t>em arcar com o fluxo de despesas necessárias ao cumprimento de suas obrigações atuariais, até a data da disponibilização dos recursos investidos.</w:t>
      </w:r>
    </w:p>
    <w:p w14:paraId="4F102DB1" w14:textId="3D843C3F" w:rsidR="00C415AC" w:rsidRPr="00D66461" w:rsidRDefault="0019533F" w:rsidP="00D62A5D">
      <w:pPr>
        <w:rPr>
          <w:color w:val="auto"/>
        </w:rPr>
      </w:pPr>
      <w:r w:rsidRPr="00D66461">
        <w:rPr>
          <w:color w:val="auto"/>
        </w:rPr>
        <w:t>Entende-se como atestado de compatibilidade que comprova a análise de evidenciação quanto a capacidade em arcar com o fluxo de despesas necessárias ao cumprimento de suas obrigações atuariais, até a data da disponibilização do</w:t>
      </w:r>
      <w:r w:rsidR="00062581" w:rsidRPr="00D66461">
        <w:rPr>
          <w:color w:val="auto"/>
        </w:rPr>
        <w:t xml:space="preserve">s recursos investidos, </w:t>
      </w:r>
      <w:r w:rsidR="002B0D96" w:rsidRPr="00D66461">
        <w:rPr>
          <w:color w:val="auto"/>
        </w:rPr>
        <w:t>o estudo de</w:t>
      </w:r>
      <w:r w:rsidR="00555173" w:rsidRPr="00D66461">
        <w:rPr>
          <w:color w:val="auto"/>
        </w:rPr>
        <w:t xml:space="preserve"> </w:t>
      </w:r>
      <w:r w:rsidR="0012355F" w:rsidRPr="00D66461">
        <w:rPr>
          <w:color w:val="auto"/>
        </w:rPr>
        <w:t>A</w:t>
      </w:r>
      <w:r w:rsidR="00062581" w:rsidRPr="00D66461">
        <w:rPr>
          <w:color w:val="auto"/>
        </w:rPr>
        <w:t>LM – Asset Liability Management.</w:t>
      </w:r>
    </w:p>
    <w:p w14:paraId="0AB43B99" w14:textId="5FC2CBC5" w:rsidR="00062581" w:rsidRPr="00D66461" w:rsidRDefault="00062581" w:rsidP="005222CD">
      <w:pPr>
        <w:pStyle w:val="Ttulo1"/>
        <w:spacing w:before="360"/>
        <w:rPr>
          <w:color w:val="auto"/>
        </w:rPr>
      </w:pPr>
      <w:bookmarkStart w:id="92" w:name="_Toc90997491"/>
      <w:r w:rsidRPr="00D66461">
        <w:rPr>
          <w:color w:val="auto"/>
        </w:rPr>
        <w:t>ALM – ASSET LIABILITY MANAGEMENT</w:t>
      </w:r>
      <w:bookmarkEnd w:id="92"/>
    </w:p>
    <w:p w14:paraId="597E476C" w14:textId="5D12E4AD" w:rsidR="00EC32B7" w:rsidRPr="00D66461" w:rsidRDefault="007E1A1B" w:rsidP="005222CD">
      <w:pPr>
        <w:rPr>
          <w:color w:val="auto"/>
        </w:rPr>
      </w:pPr>
      <w:r w:rsidRPr="00D66461">
        <w:rPr>
          <w:color w:val="auto"/>
        </w:rPr>
        <w:t>As aplicações dos recursos e sua continuidade</w:t>
      </w:r>
      <w:r w:rsidR="00AC0D44" w:rsidRPr="00D66461">
        <w:rPr>
          <w:color w:val="auto"/>
        </w:rPr>
        <w:t xml:space="preserve"> </w:t>
      </w:r>
      <w:r w:rsidRPr="00D66461">
        <w:rPr>
          <w:color w:val="auto"/>
        </w:rPr>
        <w:t>deverão</w:t>
      </w:r>
      <w:r w:rsidR="00AC0D44" w:rsidRPr="00D66461">
        <w:rPr>
          <w:color w:val="auto"/>
        </w:rPr>
        <w:t xml:space="preserve"> </w:t>
      </w:r>
      <w:r w:rsidRPr="00D66461">
        <w:rPr>
          <w:color w:val="auto"/>
        </w:rPr>
        <w:t>observar a compatibilidade dos ativos investidos com os prazos, montantes e taxas das obrigações</w:t>
      </w:r>
      <w:r w:rsidR="00AC0D44" w:rsidRPr="00D66461">
        <w:rPr>
          <w:color w:val="auto"/>
        </w:rPr>
        <w:t xml:space="preserve"> </w:t>
      </w:r>
      <w:r w:rsidRPr="00D66461">
        <w:rPr>
          <w:color w:val="auto"/>
        </w:rPr>
        <w:t>atuariais presentes e futuras do</w:t>
      </w:r>
      <w:r w:rsidR="00EB222C" w:rsidRPr="00D66461">
        <w:rPr>
          <w:color w:val="auto"/>
        </w:rPr>
        <w:t xml:space="preserve"> </w:t>
      </w:r>
      <w:r w:rsidR="00D66461" w:rsidRPr="00D66461">
        <w:rPr>
          <w:bCs/>
          <w:color w:val="auto"/>
          <w:szCs w:val="20"/>
        </w:rPr>
        <w:t>Instituto de Previdência dos Servidores Públicos do Município de Pitangueiras - PITANPREV</w:t>
      </w:r>
      <w:r w:rsidRPr="00D66461">
        <w:rPr>
          <w:color w:val="auto"/>
        </w:rPr>
        <w:t>, com o objetivo de manter o</w:t>
      </w:r>
      <w:r w:rsidR="00EB222C" w:rsidRPr="00D66461">
        <w:rPr>
          <w:color w:val="auto"/>
        </w:rPr>
        <w:t xml:space="preserve"> </w:t>
      </w:r>
      <w:r w:rsidRPr="00D66461">
        <w:rPr>
          <w:color w:val="auto"/>
        </w:rPr>
        <w:t xml:space="preserve">equilíbrio </w:t>
      </w:r>
      <w:r w:rsidR="00EC32B7" w:rsidRPr="00D66461">
        <w:rPr>
          <w:color w:val="auto"/>
        </w:rPr>
        <w:t>econômico-financeiro</w:t>
      </w:r>
      <w:r w:rsidRPr="00D66461">
        <w:rPr>
          <w:color w:val="auto"/>
        </w:rPr>
        <w:t xml:space="preserve"> entre ativos e passivos.</w:t>
      </w:r>
    </w:p>
    <w:p w14:paraId="2F381404" w14:textId="6E80424E" w:rsidR="00C415AC" w:rsidRPr="00D66461" w:rsidRDefault="007E1A1B" w:rsidP="005222CD">
      <w:pPr>
        <w:rPr>
          <w:color w:val="auto"/>
        </w:rPr>
      </w:pPr>
      <w:r w:rsidRPr="00D66461">
        <w:rPr>
          <w:color w:val="auto"/>
        </w:rPr>
        <w:t xml:space="preserve">Para garantir a compatibilidade, os responsáveis </w:t>
      </w:r>
      <w:r w:rsidR="00456234" w:rsidRPr="00D66461">
        <w:rPr>
          <w:color w:val="auto"/>
        </w:rPr>
        <w:t xml:space="preserve">pelo </w:t>
      </w:r>
      <w:r w:rsidR="00D66461" w:rsidRPr="00D66461">
        <w:rPr>
          <w:bCs/>
          <w:color w:val="auto"/>
          <w:szCs w:val="20"/>
        </w:rPr>
        <w:t>Instituto de Previdência dos Servidores Públicos do Município de Pitangueiras - PITANPREV</w:t>
      </w:r>
      <w:r w:rsidR="00456234" w:rsidRPr="00D66461">
        <w:rPr>
          <w:color w:val="auto"/>
        </w:rPr>
        <w:t xml:space="preserve"> </w:t>
      </w:r>
      <w:r w:rsidRPr="00D66461">
        <w:rPr>
          <w:color w:val="auto"/>
        </w:rPr>
        <w:t>devem</w:t>
      </w:r>
      <w:r w:rsidR="00456234" w:rsidRPr="00D66461">
        <w:rPr>
          <w:color w:val="auto"/>
        </w:rPr>
        <w:t xml:space="preserve"> m</w:t>
      </w:r>
      <w:r w:rsidRPr="00D66461">
        <w:rPr>
          <w:color w:val="auto"/>
        </w:rPr>
        <w:t xml:space="preserve">anter </w:t>
      </w:r>
      <w:r w:rsidR="00456234" w:rsidRPr="00D66461">
        <w:rPr>
          <w:color w:val="auto"/>
        </w:rPr>
        <w:t xml:space="preserve">os </w:t>
      </w:r>
      <w:r w:rsidRPr="00D66461">
        <w:rPr>
          <w:color w:val="auto"/>
        </w:rPr>
        <w:t>procedimentos e controles internos formalizados para a gestão do risco de liquidez</w:t>
      </w:r>
      <w:r w:rsidR="00456234" w:rsidRPr="00D66461">
        <w:rPr>
          <w:color w:val="auto"/>
        </w:rPr>
        <w:t xml:space="preserve"> </w:t>
      </w:r>
      <w:r w:rsidRPr="00D66461">
        <w:rPr>
          <w:color w:val="auto"/>
        </w:rPr>
        <w:t>das aplicações de forma que os recursos estejam disponíveis na data do pagamento dos benefícios e</w:t>
      </w:r>
      <w:r w:rsidR="00C56294" w:rsidRPr="00D66461">
        <w:rPr>
          <w:color w:val="auto"/>
        </w:rPr>
        <w:t xml:space="preserve"> </w:t>
      </w:r>
      <w:r w:rsidRPr="00D66461">
        <w:rPr>
          <w:color w:val="auto"/>
        </w:rPr>
        <w:t xml:space="preserve">demais obrigações do </w:t>
      </w:r>
      <w:r w:rsidR="00385945" w:rsidRPr="00D66461">
        <w:rPr>
          <w:color w:val="auto"/>
        </w:rPr>
        <w:t>R</w:t>
      </w:r>
      <w:r w:rsidRPr="00D66461">
        <w:rPr>
          <w:color w:val="auto"/>
        </w:rPr>
        <w:t>egime</w:t>
      </w:r>
      <w:r w:rsidR="00953892" w:rsidRPr="00D66461">
        <w:rPr>
          <w:color w:val="auto"/>
        </w:rPr>
        <w:t xml:space="preserve">. Deverão inclusive </w:t>
      </w:r>
      <w:r w:rsidRPr="00D66461">
        <w:rPr>
          <w:color w:val="auto"/>
        </w:rPr>
        <w:t>realizar o acompanhamento dos fluxos de pagamentos dos ativos, assegurando o</w:t>
      </w:r>
      <w:r w:rsidR="00953892" w:rsidRPr="00D66461">
        <w:rPr>
          <w:color w:val="auto"/>
        </w:rPr>
        <w:t xml:space="preserve"> </w:t>
      </w:r>
      <w:r w:rsidRPr="00D66461">
        <w:rPr>
          <w:color w:val="auto"/>
        </w:rPr>
        <w:t xml:space="preserve">cumprimento dos prazos e dos montantes das obrigações do </w:t>
      </w:r>
      <w:r w:rsidR="00D66461" w:rsidRPr="00D66461">
        <w:rPr>
          <w:bCs/>
          <w:color w:val="auto"/>
          <w:szCs w:val="20"/>
        </w:rPr>
        <w:t>Instituto de Previdência dos Servidores Públicos do Município de Pitangueiras - PITANPREV</w:t>
      </w:r>
      <w:r w:rsidR="001C6638" w:rsidRPr="00D66461">
        <w:rPr>
          <w:color w:val="auto"/>
        </w:rPr>
        <w:t>.</w:t>
      </w:r>
    </w:p>
    <w:p w14:paraId="49EDC645" w14:textId="6FBB223A" w:rsidR="005E6270" w:rsidRPr="00D66461" w:rsidRDefault="002330DA" w:rsidP="005222CD">
      <w:pPr>
        <w:rPr>
          <w:color w:val="auto"/>
        </w:rPr>
      </w:pPr>
      <w:r w:rsidRPr="00D66461">
        <w:rPr>
          <w:color w:val="auto"/>
        </w:rPr>
        <w:t xml:space="preserve">Para </w:t>
      </w:r>
      <w:r w:rsidR="00E20D66" w:rsidRPr="00D66461">
        <w:rPr>
          <w:color w:val="auto"/>
        </w:rPr>
        <w:t xml:space="preserve">se fazer cumprir as obrigatoriedades descritas acima, o </w:t>
      </w:r>
      <w:r w:rsidR="00D66461" w:rsidRPr="00D66461">
        <w:rPr>
          <w:bCs/>
          <w:color w:val="auto"/>
          <w:szCs w:val="20"/>
        </w:rPr>
        <w:t>Instituto de Previdência dos Servidores Públicos do Município de Pitangueiras - PITANPREV</w:t>
      </w:r>
      <w:r w:rsidR="00062581" w:rsidRPr="00D66461">
        <w:rPr>
          <w:color w:val="auto"/>
        </w:rPr>
        <w:t xml:space="preserve"> </w:t>
      </w:r>
      <w:r w:rsidR="0023768F" w:rsidRPr="00D66461">
        <w:rPr>
          <w:color w:val="auto"/>
        </w:rPr>
        <w:t>buscará a</w:t>
      </w:r>
      <w:r w:rsidR="005E6270" w:rsidRPr="00D66461">
        <w:rPr>
          <w:color w:val="auto"/>
        </w:rPr>
        <w:t xml:space="preserve"> adoção da ferramenta de gestão conhecida como </w:t>
      </w:r>
      <w:r w:rsidR="00062581" w:rsidRPr="00D66461">
        <w:rPr>
          <w:color w:val="auto"/>
        </w:rPr>
        <w:t>estudo de ALM – Asset Liability Management</w:t>
      </w:r>
      <w:r w:rsidR="005E6270" w:rsidRPr="00D66461">
        <w:rPr>
          <w:color w:val="auto"/>
        </w:rPr>
        <w:t>.</w:t>
      </w:r>
    </w:p>
    <w:p w14:paraId="0DD33F9B" w14:textId="1F9E90B0" w:rsidR="00062581" w:rsidRPr="00D66461" w:rsidRDefault="005E6270" w:rsidP="005222CD">
      <w:pPr>
        <w:rPr>
          <w:color w:val="auto"/>
        </w:rPr>
      </w:pPr>
      <w:r w:rsidRPr="00D66461">
        <w:rPr>
          <w:color w:val="auto"/>
        </w:rPr>
        <w:t xml:space="preserve">O estudo </w:t>
      </w:r>
      <w:r w:rsidR="003B1954" w:rsidRPr="00D66461">
        <w:rPr>
          <w:color w:val="auto"/>
        </w:rPr>
        <w:t xml:space="preserve">compreende a </w:t>
      </w:r>
      <w:r w:rsidR="00062581" w:rsidRPr="00D66461">
        <w:rPr>
          <w:color w:val="auto"/>
        </w:rPr>
        <w:t xml:space="preserve">forma pormenorizadamente </w:t>
      </w:r>
      <w:r w:rsidR="00541E90" w:rsidRPr="00D66461">
        <w:rPr>
          <w:color w:val="auto"/>
        </w:rPr>
        <w:t>d</w:t>
      </w:r>
      <w:r w:rsidR="00062581" w:rsidRPr="00D66461">
        <w:rPr>
          <w:color w:val="auto"/>
        </w:rPr>
        <w:t xml:space="preserve">a liquidez da carteira de investimentos em </w:t>
      </w:r>
      <w:r w:rsidR="00E546E5" w:rsidRPr="00D66461">
        <w:rPr>
          <w:color w:val="auto"/>
        </w:rPr>
        <w:t>honrar</w:t>
      </w:r>
      <w:r w:rsidR="00062581" w:rsidRPr="00D66461">
        <w:rPr>
          <w:color w:val="auto"/>
        </w:rPr>
        <w:t xml:space="preserve"> os compromissos presentes e futuros</w:t>
      </w:r>
      <w:r w:rsidR="005C7899" w:rsidRPr="00D66461">
        <w:rPr>
          <w:color w:val="auto"/>
        </w:rPr>
        <w:t xml:space="preserve">, proporcionado </w:t>
      </w:r>
      <w:r w:rsidR="00EA5E17" w:rsidRPr="00D66461">
        <w:rPr>
          <w:color w:val="auto"/>
        </w:rPr>
        <w:t xml:space="preserve">ao </w:t>
      </w:r>
      <w:r w:rsidR="00D66461" w:rsidRPr="00D66461">
        <w:rPr>
          <w:bCs/>
          <w:color w:val="auto"/>
          <w:szCs w:val="20"/>
        </w:rPr>
        <w:t>Instituto de Previdência dos Servidores Públicos do Município de Pitangueiras - PITANPREV</w:t>
      </w:r>
      <w:r w:rsidR="00EA5E17" w:rsidRPr="00D66461">
        <w:rPr>
          <w:color w:val="auto"/>
        </w:rPr>
        <w:t xml:space="preserve"> </w:t>
      </w:r>
      <w:r w:rsidR="00062581" w:rsidRPr="00D66461">
        <w:rPr>
          <w:color w:val="auto"/>
        </w:rPr>
        <w:t xml:space="preserve">a busca pela otimização </w:t>
      </w:r>
      <w:r w:rsidR="00797C78" w:rsidRPr="00D66461">
        <w:rPr>
          <w:color w:val="auto"/>
        </w:rPr>
        <w:t>d</w:t>
      </w:r>
      <w:r w:rsidR="0053365D" w:rsidRPr="00D66461">
        <w:rPr>
          <w:color w:val="auto"/>
        </w:rPr>
        <w:t>a carteira</w:t>
      </w:r>
      <w:r w:rsidR="00062581" w:rsidRPr="00D66461">
        <w:rPr>
          <w:color w:val="auto"/>
        </w:rPr>
        <w:t xml:space="preserve"> de investimentos, </w:t>
      </w:r>
      <w:r w:rsidR="005601E5" w:rsidRPr="00D66461">
        <w:rPr>
          <w:color w:val="auto"/>
        </w:rPr>
        <w:t xml:space="preserve">apresentando </w:t>
      </w:r>
      <w:r w:rsidR="00797C78" w:rsidRPr="00D66461">
        <w:rPr>
          <w:color w:val="auto"/>
        </w:rPr>
        <w:t xml:space="preserve">a melhor trajetória para </w:t>
      </w:r>
      <w:r w:rsidR="00295EB7" w:rsidRPr="00D66461">
        <w:rPr>
          <w:color w:val="auto"/>
        </w:rPr>
        <w:t xml:space="preserve">o </w:t>
      </w:r>
      <w:r w:rsidR="00797C78" w:rsidRPr="00D66461">
        <w:rPr>
          <w:color w:val="auto"/>
        </w:rPr>
        <w:t xml:space="preserve">cumprimento da meta </w:t>
      </w:r>
      <w:r w:rsidR="004E61A8" w:rsidRPr="00D66461">
        <w:rPr>
          <w:color w:val="auto"/>
        </w:rPr>
        <w:t>de rentabilidade</w:t>
      </w:r>
      <w:r w:rsidR="00DD7713" w:rsidRPr="00D66461">
        <w:rPr>
          <w:color w:val="auto"/>
        </w:rPr>
        <w:t>, resguardando</w:t>
      </w:r>
      <w:r w:rsidR="00062581" w:rsidRPr="00D66461">
        <w:rPr>
          <w:color w:val="auto"/>
        </w:rPr>
        <w:t xml:space="preserve"> </w:t>
      </w:r>
      <w:r w:rsidR="00797C78" w:rsidRPr="00D66461">
        <w:rPr>
          <w:color w:val="auto"/>
        </w:rPr>
        <w:t>o melhor</w:t>
      </w:r>
      <w:r w:rsidR="00062581" w:rsidRPr="00D66461">
        <w:rPr>
          <w:color w:val="auto"/>
        </w:rPr>
        <w:t xml:space="preserve"> resultado financeiro </w:t>
      </w:r>
      <w:r w:rsidR="00797C78" w:rsidRPr="00D66461">
        <w:rPr>
          <w:color w:val="auto"/>
        </w:rPr>
        <w:t xml:space="preserve">possível </w:t>
      </w:r>
      <w:r w:rsidR="00062581" w:rsidRPr="00D66461">
        <w:rPr>
          <w:color w:val="auto"/>
        </w:rPr>
        <w:t>também no longo praz</w:t>
      </w:r>
      <w:r w:rsidR="004E61A8" w:rsidRPr="00D66461">
        <w:rPr>
          <w:color w:val="auto"/>
        </w:rPr>
        <w:t>o.</w:t>
      </w:r>
    </w:p>
    <w:p w14:paraId="169A87B7" w14:textId="0BB4C8E1" w:rsidR="004E61A8" w:rsidRPr="00D66461" w:rsidRDefault="00B073F7" w:rsidP="005222CD">
      <w:pPr>
        <w:rPr>
          <w:color w:val="auto"/>
        </w:rPr>
      </w:pPr>
      <w:r w:rsidRPr="00D66461">
        <w:rPr>
          <w:color w:val="auto"/>
        </w:rPr>
        <w:t>O estudo de</w:t>
      </w:r>
      <w:r w:rsidR="004E61A8" w:rsidRPr="00D66461">
        <w:rPr>
          <w:color w:val="auto"/>
        </w:rPr>
        <w:t xml:space="preserve"> ALM – Asset Liability Management</w:t>
      </w:r>
      <w:r w:rsidR="000069E9" w:rsidRPr="00D66461">
        <w:rPr>
          <w:color w:val="auto"/>
        </w:rPr>
        <w:t xml:space="preserve"> deverá </w:t>
      </w:r>
      <w:r w:rsidR="00414E5C" w:rsidRPr="00D66461">
        <w:rPr>
          <w:color w:val="auto"/>
        </w:rPr>
        <w:t>ser</w:t>
      </w:r>
      <w:r w:rsidRPr="00D66461">
        <w:rPr>
          <w:color w:val="auto"/>
        </w:rPr>
        <w:t xml:space="preserve"> providenciado</w:t>
      </w:r>
      <w:r w:rsidR="00480A35" w:rsidRPr="00D66461">
        <w:rPr>
          <w:color w:val="auto"/>
        </w:rPr>
        <w:t xml:space="preserve"> no </w:t>
      </w:r>
      <w:r w:rsidR="001A34F9" w:rsidRPr="00D66461">
        <w:rPr>
          <w:color w:val="auto"/>
        </w:rPr>
        <w:t>mínimo uma vez ao ano</w:t>
      </w:r>
      <w:r w:rsidR="00414E5C" w:rsidRPr="00D66461">
        <w:rPr>
          <w:color w:val="auto"/>
        </w:rPr>
        <w:t xml:space="preserve">, </w:t>
      </w:r>
      <w:r w:rsidR="000069E9" w:rsidRPr="00D66461">
        <w:rPr>
          <w:color w:val="auto"/>
        </w:rPr>
        <w:t xml:space="preserve">após o fechamento </w:t>
      </w:r>
      <w:r w:rsidR="00C87DFC" w:rsidRPr="00D66461">
        <w:rPr>
          <w:color w:val="auto"/>
        </w:rPr>
        <w:t>da Avaliação Atuarial</w:t>
      </w:r>
      <w:r w:rsidR="00555EA4" w:rsidRPr="00D66461">
        <w:rPr>
          <w:color w:val="auto"/>
        </w:rPr>
        <w:t xml:space="preserve">, </w:t>
      </w:r>
      <w:r w:rsidR="00C87DFC" w:rsidRPr="00D66461">
        <w:rPr>
          <w:color w:val="auto"/>
        </w:rPr>
        <w:t xml:space="preserve">sendo necessário </w:t>
      </w:r>
      <w:r w:rsidR="00245763" w:rsidRPr="00D66461">
        <w:rPr>
          <w:color w:val="auto"/>
        </w:rPr>
        <w:t>seu acompanhamento</w:t>
      </w:r>
      <w:r w:rsidR="00254E9E" w:rsidRPr="00D66461">
        <w:rPr>
          <w:color w:val="auto"/>
        </w:rPr>
        <w:t xml:space="preserve"> periódico, </w:t>
      </w:r>
      <w:r w:rsidR="001A34F9" w:rsidRPr="00D66461">
        <w:rPr>
          <w:color w:val="auto"/>
        </w:rPr>
        <w:t>com emissão de Relatórios de Acompanhamento que proporcionará</w:t>
      </w:r>
      <w:r w:rsidR="00254E9E" w:rsidRPr="00D66461">
        <w:rPr>
          <w:color w:val="auto"/>
        </w:rPr>
        <w:t xml:space="preserve"> as</w:t>
      </w:r>
      <w:r w:rsidR="00C87DFC" w:rsidRPr="00D66461">
        <w:rPr>
          <w:color w:val="auto"/>
        </w:rPr>
        <w:t xml:space="preserve"> atualizaç</w:t>
      </w:r>
      <w:r w:rsidR="00D9555F" w:rsidRPr="00D66461">
        <w:rPr>
          <w:color w:val="auto"/>
        </w:rPr>
        <w:t>ões</w:t>
      </w:r>
      <w:r w:rsidR="00C87DFC" w:rsidRPr="00D66461">
        <w:rPr>
          <w:color w:val="auto"/>
        </w:rPr>
        <w:t xml:space="preserve"> </w:t>
      </w:r>
      <w:r w:rsidR="00555EA4" w:rsidRPr="00D66461">
        <w:rPr>
          <w:color w:val="auto"/>
        </w:rPr>
        <w:t xml:space="preserve">de seus resultados </w:t>
      </w:r>
      <w:r w:rsidR="00254E9E" w:rsidRPr="00D66461">
        <w:rPr>
          <w:color w:val="auto"/>
        </w:rPr>
        <w:t xml:space="preserve">em uma linha temporal não </w:t>
      </w:r>
      <w:r w:rsidR="00555EA4" w:rsidRPr="00D66461">
        <w:rPr>
          <w:color w:val="auto"/>
        </w:rPr>
        <w:t>superior a um semestre.</w:t>
      </w:r>
    </w:p>
    <w:p w14:paraId="4481F100" w14:textId="7678E5B0" w:rsidR="00062581" w:rsidRPr="00D66461" w:rsidRDefault="00C86686" w:rsidP="005222CD">
      <w:pPr>
        <w:rPr>
          <w:color w:val="auto"/>
        </w:rPr>
      </w:pPr>
      <w:r w:rsidRPr="00D66461">
        <w:rPr>
          <w:color w:val="auto"/>
        </w:rPr>
        <w:t xml:space="preserve">Sua obrigatoriedade encontra-se prevista na Resolução CMN nº </w:t>
      </w:r>
      <w:r w:rsidR="00D9555F" w:rsidRPr="00D66461">
        <w:rPr>
          <w:color w:val="auto"/>
        </w:rPr>
        <w:t>4.963/2021</w:t>
      </w:r>
      <w:r w:rsidRPr="00D66461">
        <w:rPr>
          <w:color w:val="auto"/>
        </w:rPr>
        <w:t>, art. 6º, § 1º;</w:t>
      </w:r>
      <w:r w:rsidR="0026139D" w:rsidRPr="00D66461">
        <w:rPr>
          <w:color w:val="auto"/>
        </w:rPr>
        <w:t xml:space="preserve"> Portaria nº 185</w:t>
      </w:r>
      <w:r w:rsidR="003648F2" w:rsidRPr="00D66461">
        <w:rPr>
          <w:color w:val="auto"/>
        </w:rPr>
        <w:t>/2015</w:t>
      </w:r>
      <w:r w:rsidR="0026139D" w:rsidRPr="00D66461">
        <w:rPr>
          <w:color w:val="auto"/>
        </w:rPr>
        <w:t>, art. 2º; Portaria MPS nº 519</w:t>
      </w:r>
      <w:r w:rsidR="003648F2" w:rsidRPr="00D66461">
        <w:rPr>
          <w:color w:val="auto"/>
        </w:rPr>
        <w:t>/2011</w:t>
      </w:r>
      <w:r w:rsidR="0026139D" w:rsidRPr="00D66461">
        <w:rPr>
          <w:color w:val="auto"/>
        </w:rPr>
        <w:t xml:space="preserve">, art. 3º, § 4º; </w:t>
      </w:r>
      <w:r w:rsidRPr="00D66461">
        <w:rPr>
          <w:color w:val="auto"/>
        </w:rPr>
        <w:t>Portaria</w:t>
      </w:r>
      <w:r w:rsidR="0026139D" w:rsidRPr="00D66461">
        <w:rPr>
          <w:color w:val="auto"/>
        </w:rPr>
        <w:t xml:space="preserve"> nº 464</w:t>
      </w:r>
      <w:r w:rsidR="003648F2" w:rsidRPr="00D66461">
        <w:rPr>
          <w:color w:val="auto"/>
        </w:rPr>
        <w:t>/2018</w:t>
      </w:r>
      <w:r w:rsidR="0026139D" w:rsidRPr="00D66461">
        <w:rPr>
          <w:color w:val="auto"/>
        </w:rPr>
        <w:t>, art. 73º; Instrução Normativa nº 2</w:t>
      </w:r>
      <w:r w:rsidR="003648F2" w:rsidRPr="00D66461">
        <w:rPr>
          <w:color w:val="auto"/>
        </w:rPr>
        <w:t>/</w:t>
      </w:r>
      <w:r w:rsidR="0026139D" w:rsidRPr="00D66461">
        <w:rPr>
          <w:color w:val="auto"/>
        </w:rPr>
        <w:t>2018, art. 4º e Instrução Normativa nº 9</w:t>
      </w:r>
      <w:r w:rsidR="003648F2" w:rsidRPr="00D66461">
        <w:rPr>
          <w:color w:val="auto"/>
        </w:rPr>
        <w:t>/</w:t>
      </w:r>
      <w:r w:rsidR="0026139D" w:rsidRPr="00D66461">
        <w:rPr>
          <w:color w:val="auto"/>
        </w:rPr>
        <w:t>2018, art. 5º, § 1º ao § 5º.</w:t>
      </w:r>
    </w:p>
    <w:p w14:paraId="2296BBE6" w14:textId="77777777" w:rsidR="006B0FB7" w:rsidRPr="00D66461" w:rsidRDefault="006B0FB7" w:rsidP="005222CD">
      <w:pPr>
        <w:pStyle w:val="Ttulo1"/>
        <w:spacing w:before="360"/>
        <w:rPr>
          <w:color w:val="auto"/>
        </w:rPr>
      </w:pPr>
      <w:bookmarkStart w:id="93" w:name="_Toc435189696"/>
      <w:bookmarkStart w:id="94" w:name="_Toc435202754"/>
      <w:bookmarkStart w:id="95" w:name="_Toc490036560"/>
      <w:bookmarkStart w:id="96" w:name="_Toc90997492"/>
      <w:r w:rsidRPr="00D66461">
        <w:rPr>
          <w:color w:val="auto"/>
        </w:rPr>
        <w:lastRenderedPageBreak/>
        <w:t>P</w:t>
      </w:r>
      <w:bookmarkEnd w:id="93"/>
      <w:r w:rsidRPr="00D66461">
        <w:rPr>
          <w:color w:val="auto"/>
        </w:rPr>
        <w:t>OLÍTICA DE TRANSPARÊNCIA</w:t>
      </w:r>
      <w:bookmarkEnd w:id="94"/>
      <w:bookmarkEnd w:id="95"/>
      <w:bookmarkEnd w:id="96"/>
    </w:p>
    <w:p w14:paraId="0984A814" w14:textId="7AFE26D6" w:rsidR="008121B4" w:rsidRPr="00D66461" w:rsidRDefault="006B0FB7" w:rsidP="005222CD">
      <w:pPr>
        <w:rPr>
          <w:color w:val="auto"/>
        </w:rPr>
      </w:pPr>
      <w:r w:rsidRPr="00D66461">
        <w:rPr>
          <w:color w:val="auto"/>
        </w:rPr>
        <w:t xml:space="preserve">As informações contidas </w:t>
      </w:r>
      <w:r w:rsidR="007E39ED" w:rsidRPr="00D66461">
        <w:rPr>
          <w:color w:val="auto"/>
        </w:rPr>
        <w:t>ne</w:t>
      </w:r>
      <w:r w:rsidR="001C244B" w:rsidRPr="00D66461">
        <w:rPr>
          <w:color w:val="auto"/>
        </w:rPr>
        <w:t>ssa</w:t>
      </w:r>
      <w:r w:rsidRPr="00D66461">
        <w:rPr>
          <w:color w:val="auto"/>
        </w:rPr>
        <w:t xml:space="preserve"> Política de Investimentos e em suas</w:t>
      </w:r>
      <w:r w:rsidR="007E39ED" w:rsidRPr="00D66461">
        <w:rPr>
          <w:color w:val="auto"/>
        </w:rPr>
        <w:t xml:space="preserve"> </w:t>
      </w:r>
      <w:r w:rsidR="001C244B" w:rsidRPr="00D66461">
        <w:rPr>
          <w:color w:val="auto"/>
        </w:rPr>
        <w:t xml:space="preserve">possíveis </w:t>
      </w:r>
      <w:r w:rsidRPr="00D66461">
        <w:rPr>
          <w:color w:val="auto"/>
        </w:rPr>
        <w:t xml:space="preserve">revisões deverão ser disponibilizadas aos interessados, no prazo de </w:t>
      </w:r>
      <w:r w:rsidR="008121B4" w:rsidRPr="00D66461">
        <w:rPr>
          <w:color w:val="auto"/>
        </w:rPr>
        <w:t>30 (</w:t>
      </w:r>
      <w:r w:rsidRPr="00D66461">
        <w:rPr>
          <w:color w:val="auto"/>
        </w:rPr>
        <w:t>trinta</w:t>
      </w:r>
      <w:r w:rsidR="008121B4" w:rsidRPr="00D66461">
        <w:rPr>
          <w:color w:val="auto"/>
        </w:rPr>
        <w:t>)</w:t>
      </w:r>
      <w:r w:rsidRPr="00D66461">
        <w:rPr>
          <w:color w:val="auto"/>
        </w:rPr>
        <w:t xml:space="preserve"> dias contados de sua aprovação, observados os critérios estabelecidos </w:t>
      </w:r>
      <w:r w:rsidR="00E2669A" w:rsidRPr="00D66461">
        <w:rPr>
          <w:color w:val="auto"/>
        </w:rPr>
        <w:t>através dos atos normativos vigentes</w:t>
      </w:r>
      <w:r w:rsidRPr="00D66461">
        <w:rPr>
          <w:color w:val="auto"/>
        </w:rPr>
        <w:t>.</w:t>
      </w:r>
    </w:p>
    <w:p w14:paraId="0BB331B6" w14:textId="5D2975A4" w:rsidR="006B0FB7" w:rsidRPr="00D66461" w:rsidRDefault="006B0FB7" w:rsidP="005222CD">
      <w:pPr>
        <w:rPr>
          <w:color w:val="auto"/>
        </w:rPr>
      </w:pPr>
      <w:r w:rsidRPr="00D66461">
        <w:rPr>
          <w:color w:val="auto"/>
        </w:rPr>
        <w:t>À vista da exigência contida no art. 4º, incisos I, II, III</w:t>
      </w:r>
      <w:r w:rsidR="00E51512" w:rsidRPr="00D66461">
        <w:rPr>
          <w:color w:val="auto"/>
        </w:rPr>
        <w:t xml:space="preserve">, </w:t>
      </w:r>
      <w:r w:rsidRPr="00D66461">
        <w:rPr>
          <w:color w:val="auto"/>
        </w:rPr>
        <w:t xml:space="preserve">IV e </w:t>
      </w:r>
      <w:r w:rsidR="00E51512" w:rsidRPr="00D66461">
        <w:rPr>
          <w:color w:val="auto"/>
        </w:rPr>
        <w:t>V</w:t>
      </w:r>
      <w:r w:rsidRPr="00D66461">
        <w:rPr>
          <w:color w:val="auto"/>
        </w:rPr>
        <w:t>, parágrafo primeiro e segundo e ainda, art. 5º da Resolução CMN nº</w:t>
      </w:r>
      <w:r w:rsidR="00E2669A" w:rsidRPr="00D66461">
        <w:rPr>
          <w:color w:val="auto"/>
        </w:rPr>
        <w:t xml:space="preserve"> 4.963/2021</w:t>
      </w:r>
      <w:r w:rsidRPr="00D66461">
        <w:rPr>
          <w:color w:val="auto"/>
        </w:rPr>
        <w:t xml:space="preserve">, a Política de Investimentos deverá ser disponibilizada no site do </w:t>
      </w:r>
      <w:r w:rsidR="00D66461" w:rsidRPr="00D66461">
        <w:rPr>
          <w:bCs/>
          <w:color w:val="auto"/>
          <w:szCs w:val="20"/>
        </w:rPr>
        <w:t>Instituto de Previdência dos Servidores Públicos do Município de Pitangueiras - PITANPREV</w:t>
      </w:r>
      <w:r w:rsidRPr="00D66461">
        <w:rPr>
          <w:color w:val="auto"/>
        </w:rPr>
        <w:t>, Diário Oficial do Município ou em local de fácil acesso e visualização, sem prejuízo de outros canais oficiais de comunicação.</w:t>
      </w:r>
    </w:p>
    <w:p w14:paraId="48769245" w14:textId="4EEC6500" w:rsidR="007C2C43" w:rsidRPr="00D66461" w:rsidRDefault="007C2C43" w:rsidP="005222CD">
      <w:pPr>
        <w:rPr>
          <w:color w:val="auto"/>
        </w:rPr>
      </w:pPr>
      <w:r w:rsidRPr="00D66461">
        <w:rPr>
          <w:color w:val="auto"/>
        </w:rPr>
        <w:t>Todos e demais documentos correspondentes a análise, avaliação, gerenciamento, assessoramento e decisão, deverão ser disponibilizados via Portar de Transparência de própria autoria ou na melhor qualidade de disponibilização aos interessados.</w:t>
      </w:r>
    </w:p>
    <w:p w14:paraId="728E9A9A" w14:textId="290D3DB2" w:rsidR="006B0FB7" w:rsidRPr="00D66461" w:rsidRDefault="006B0FB7" w:rsidP="005222CD">
      <w:pPr>
        <w:pStyle w:val="Ttulo1"/>
        <w:spacing w:before="360"/>
        <w:rPr>
          <w:color w:val="auto"/>
        </w:rPr>
      </w:pPr>
      <w:bookmarkStart w:id="97" w:name="_Toc435189697"/>
      <w:bookmarkStart w:id="98" w:name="_Toc435202755"/>
      <w:bookmarkStart w:id="99" w:name="_Toc490036561"/>
      <w:bookmarkStart w:id="100" w:name="_Toc90997493"/>
      <w:r w:rsidRPr="00D66461">
        <w:rPr>
          <w:color w:val="auto"/>
        </w:rPr>
        <w:t>CREDENCIAMENTO</w:t>
      </w:r>
      <w:bookmarkEnd w:id="97"/>
      <w:bookmarkEnd w:id="98"/>
      <w:bookmarkEnd w:id="99"/>
      <w:bookmarkEnd w:id="100"/>
    </w:p>
    <w:p w14:paraId="63CDFDE7" w14:textId="478BA503" w:rsidR="006B0FB7" w:rsidRPr="00D66461" w:rsidRDefault="006B0FB7" w:rsidP="005222CD">
      <w:pPr>
        <w:rPr>
          <w:bCs/>
          <w:color w:val="auto"/>
          <w:szCs w:val="20"/>
        </w:rPr>
      </w:pPr>
      <w:r w:rsidRPr="00D66461">
        <w:rPr>
          <w:bCs/>
          <w:color w:val="auto"/>
          <w:szCs w:val="20"/>
        </w:rPr>
        <w:t>Seguindo a Portaria MPS nº 519</w:t>
      </w:r>
      <w:r w:rsidR="009433C8" w:rsidRPr="00D66461">
        <w:rPr>
          <w:bCs/>
          <w:color w:val="auto"/>
          <w:szCs w:val="20"/>
        </w:rPr>
        <w:t>/2011</w:t>
      </w:r>
      <w:r w:rsidR="004A07B9" w:rsidRPr="00D66461">
        <w:rPr>
          <w:bCs/>
          <w:color w:val="auto"/>
          <w:szCs w:val="20"/>
        </w:rPr>
        <w:t xml:space="preserve">, </w:t>
      </w:r>
      <w:r w:rsidR="00130CF9" w:rsidRPr="00D66461">
        <w:rPr>
          <w:bCs/>
          <w:color w:val="auto"/>
          <w:szCs w:val="20"/>
        </w:rPr>
        <w:t xml:space="preserve">em seu Art. </w:t>
      </w:r>
      <w:r w:rsidR="004A07B9" w:rsidRPr="00D66461">
        <w:rPr>
          <w:bCs/>
          <w:color w:val="auto"/>
          <w:szCs w:val="20"/>
        </w:rPr>
        <w:t>3</w:t>
      </w:r>
      <w:r w:rsidR="00130CF9" w:rsidRPr="00D66461">
        <w:rPr>
          <w:bCs/>
          <w:color w:val="auto"/>
          <w:szCs w:val="20"/>
        </w:rPr>
        <w:t>º</w:t>
      </w:r>
      <w:r w:rsidRPr="00D66461">
        <w:rPr>
          <w:bCs/>
          <w:color w:val="auto"/>
          <w:szCs w:val="20"/>
        </w:rPr>
        <w:t xml:space="preserve">, </w:t>
      </w:r>
      <w:r w:rsidR="004A07B9" w:rsidRPr="00D66461">
        <w:rPr>
          <w:bCs/>
          <w:color w:val="auto"/>
          <w:szCs w:val="20"/>
        </w:rPr>
        <w:t>inciso IX</w:t>
      </w:r>
      <w:r w:rsidR="00DF05BF" w:rsidRPr="00D66461">
        <w:rPr>
          <w:bCs/>
          <w:color w:val="auto"/>
          <w:szCs w:val="20"/>
        </w:rPr>
        <w:t xml:space="preserve">, determina que </w:t>
      </w:r>
      <w:r w:rsidRPr="00D66461">
        <w:rPr>
          <w:bCs/>
          <w:color w:val="auto"/>
          <w:szCs w:val="20"/>
        </w:rPr>
        <w:t xml:space="preserve">antes da realização de qualquer </w:t>
      </w:r>
      <w:r w:rsidR="00AA5C51" w:rsidRPr="00D66461">
        <w:rPr>
          <w:bCs/>
          <w:color w:val="auto"/>
          <w:szCs w:val="20"/>
        </w:rPr>
        <w:t>novo aporte</w:t>
      </w:r>
      <w:r w:rsidRPr="00D66461">
        <w:rPr>
          <w:bCs/>
          <w:color w:val="auto"/>
          <w:szCs w:val="20"/>
        </w:rPr>
        <w:t xml:space="preserve">, o </w:t>
      </w:r>
      <w:r w:rsidR="00D66461" w:rsidRPr="00D66461">
        <w:rPr>
          <w:bCs/>
          <w:color w:val="auto"/>
          <w:szCs w:val="20"/>
        </w:rPr>
        <w:t>Instituto de Previdência dos Servidores Públicos do Município de Pitangueiras - PITANPREV</w:t>
      </w:r>
      <w:r w:rsidRPr="00D66461">
        <w:rPr>
          <w:bCs/>
          <w:color w:val="auto"/>
          <w:szCs w:val="20"/>
        </w:rPr>
        <w:t>,</w:t>
      </w:r>
      <w:r w:rsidR="00D11EC2" w:rsidRPr="00D66461">
        <w:rPr>
          <w:bCs/>
          <w:color w:val="auto"/>
          <w:szCs w:val="20"/>
        </w:rPr>
        <w:t xml:space="preserve"> </w:t>
      </w:r>
      <w:r w:rsidR="00AA5C51" w:rsidRPr="00D66461">
        <w:rPr>
          <w:bCs/>
          <w:color w:val="auto"/>
          <w:szCs w:val="20"/>
        </w:rPr>
        <w:t>na figura de</w:t>
      </w:r>
      <w:r w:rsidR="00130CF9" w:rsidRPr="00D66461">
        <w:rPr>
          <w:bCs/>
          <w:color w:val="auto"/>
          <w:szCs w:val="20"/>
        </w:rPr>
        <w:t xml:space="preserve"> </w:t>
      </w:r>
      <w:r w:rsidRPr="00D66461">
        <w:rPr>
          <w:bCs/>
          <w:color w:val="auto"/>
          <w:szCs w:val="20"/>
        </w:rPr>
        <w:t xml:space="preserve">seu Comitê de Investimentos, deverá assegurar que as </w:t>
      </w:r>
      <w:r w:rsidR="00AA5C51" w:rsidRPr="00D66461">
        <w:rPr>
          <w:bCs/>
          <w:color w:val="auto"/>
          <w:szCs w:val="20"/>
        </w:rPr>
        <w:t>Instituições Financeiras</w:t>
      </w:r>
      <w:r w:rsidRPr="00D66461">
        <w:rPr>
          <w:bCs/>
          <w:color w:val="auto"/>
          <w:szCs w:val="20"/>
        </w:rPr>
        <w:t xml:space="preserve"> escolhidas para receber </w:t>
      </w:r>
      <w:r w:rsidR="00CC31B1" w:rsidRPr="00D66461">
        <w:rPr>
          <w:bCs/>
          <w:color w:val="auto"/>
          <w:szCs w:val="20"/>
        </w:rPr>
        <w:t>as aplicações dos</w:t>
      </w:r>
      <w:r w:rsidR="00AA5C51" w:rsidRPr="00D66461">
        <w:rPr>
          <w:bCs/>
          <w:color w:val="auto"/>
          <w:szCs w:val="20"/>
        </w:rPr>
        <w:t xml:space="preserve"> </w:t>
      </w:r>
      <w:r w:rsidR="00230737" w:rsidRPr="00D66461">
        <w:rPr>
          <w:bCs/>
          <w:color w:val="auto"/>
          <w:szCs w:val="20"/>
        </w:rPr>
        <w:t>recursos</w:t>
      </w:r>
      <w:r w:rsidR="00D11EC2" w:rsidRPr="00D66461" w:rsidDel="00D11EC2">
        <w:rPr>
          <w:bCs/>
          <w:color w:val="auto"/>
          <w:szCs w:val="20"/>
        </w:rPr>
        <w:t xml:space="preserve"> </w:t>
      </w:r>
      <w:r w:rsidRPr="00D66461">
        <w:rPr>
          <w:bCs/>
          <w:color w:val="auto"/>
          <w:szCs w:val="20"/>
        </w:rPr>
        <w:t>tenham sido objeto de prévio credenciamento.</w:t>
      </w:r>
    </w:p>
    <w:p w14:paraId="77532CF3" w14:textId="73AAEAD0" w:rsidR="00F242C9" w:rsidRPr="00D66461" w:rsidRDefault="00CC31B1" w:rsidP="005222CD">
      <w:pPr>
        <w:rPr>
          <w:bCs/>
          <w:color w:val="auto"/>
          <w:szCs w:val="20"/>
        </w:rPr>
      </w:pPr>
      <w:r w:rsidRPr="00D66461">
        <w:rPr>
          <w:bCs/>
          <w:color w:val="auto"/>
          <w:szCs w:val="20"/>
        </w:rPr>
        <w:t xml:space="preserve">Complementarmente, a </w:t>
      </w:r>
      <w:r w:rsidR="00D9259A" w:rsidRPr="00D66461">
        <w:rPr>
          <w:bCs/>
          <w:color w:val="auto"/>
          <w:szCs w:val="20"/>
        </w:rPr>
        <w:t xml:space="preserve">própria </w:t>
      </w:r>
      <w:r w:rsidRPr="00D66461">
        <w:rPr>
          <w:bCs/>
          <w:color w:val="auto"/>
          <w:szCs w:val="20"/>
        </w:rPr>
        <w:t xml:space="preserve">Resolução CMN nº </w:t>
      </w:r>
      <w:r w:rsidR="009433C8" w:rsidRPr="00D66461">
        <w:rPr>
          <w:bCs/>
          <w:color w:val="auto"/>
          <w:szCs w:val="20"/>
        </w:rPr>
        <w:t>4.963/2021</w:t>
      </w:r>
      <w:r w:rsidR="00D9259A" w:rsidRPr="00D66461">
        <w:rPr>
          <w:bCs/>
          <w:color w:val="auto"/>
          <w:szCs w:val="20"/>
        </w:rPr>
        <w:t xml:space="preserve"> em seu Art. </w:t>
      </w:r>
      <w:r w:rsidR="00F242C9" w:rsidRPr="00D66461">
        <w:rPr>
          <w:bCs/>
          <w:color w:val="auto"/>
          <w:szCs w:val="20"/>
        </w:rPr>
        <w:t>1º, §1º, inciso VI</w:t>
      </w:r>
      <w:r w:rsidR="002F0B39" w:rsidRPr="00D66461">
        <w:rPr>
          <w:bCs/>
          <w:color w:val="auto"/>
          <w:szCs w:val="20"/>
        </w:rPr>
        <w:t xml:space="preserve"> e §3º</w:t>
      </w:r>
      <w:r w:rsidR="00826B05" w:rsidRPr="00D66461">
        <w:rPr>
          <w:bCs/>
          <w:color w:val="auto"/>
          <w:szCs w:val="20"/>
        </w:rPr>
        <w:t>,</w:t>
      </w:r>
      <w:r w:rsidR="00F242C9" w:rsidRPr="00D66461">
        <w:rPr>
          <w:bCs/>
          <w:color w:val="auto"/>
          <w:szCs w:val="20"/>
        </w:rPr>
        <w:t xml:space="preserve"> </w:t>
      </w:r>
      <w:r w:rsidR="003B13E4" w:rsidRPr="00D66461">
        <w:rPr>
          <w:bCs/>
          <w:color w:val="auto"/>
          <w:szCs w:val="20"/>
        </w:rPr>
        <w:t xml:space="preserve">determina </w:t>
      </w:r>
      <w:r w:rsidR="00693AC8" w:rsidRPr="00D66461">
        <w:rPr>
          <w:bCs/>
          <w:color w:val="auto"/>
          <w:szCs w:val="20"/>
        </w:rPr>
        <w:t>que as Instituições Financeiras escolhidas para receber as aplicações dos recursos</w:t>
      </w:r>
      <w:r w:rsidR="004B5BDA" w:rsidRPr="00D66461">
        <w:rPr>
          <w:bCs/>
          <w:color w:val="auto"/>
          <w:szCs w:val="20"/>
        </w:rPr>
        <w:t xml:space="preserve"> deverão passar pelo prévio credenciamento. Adiciona ainda o </w:t>
      </w:r>
      <w:r w:rsidR="00F242C9" w:rsidRPr="00D66461">
        <w:rPr>
          <w:bCs/>
          <w:color w:val="auto"/>
          <w:szCs w:val="20"/>
        </w:rPr>
        <w:t>acompanhamento e a avaliação do gestor e do</w:t>
      </w:r>
      <w:r w:rsidR="004B5BDA" w:rsidRPr="00D66461">
        <w:rPr>
          <w:bCs/>
          <w:color w:val="auto"/>
          <w:szCs w:val="20"/>
        </w:rPr>
        <w:t xml:space="preserve"> </w:t>
      </w:r>
      <w:r w:rsidR="00F242C9" w:rsidRPr="00D66461">
        <w:rPr>
          <w:bCs/>
          <w:color w:val="auto"/>
          <w:szCs w:val="20"/>
        </w:rPr>
        <w:t>administrador dos fundos de investimento</w:t>
      </w:r>
      <w:r w:rsidR="00046A88" w:rsidRPr="00D66461">
        <w:rPr>
          <w:bCs/>
          <w:color w:val="auto"/>
          <w:szCs w:val="20"/>
        </w:rPr>
        <w:t>.</w:t>
      </w:r>
    </w:p>
    <w:p w14:paraId="72BB80D2" w14:textId="27DD988A" w:rsidR="00230737" w:rsidRPr="00D66461" w:rsidRDefault="00046A88" w:rsidP="005222CD">
      <w:pPr>
        <w:rPr>
          <w:color w:val="auto"/>
        </w:rPr>
      </w:pPr>
      <w:r w:rsidRPr="00D66461">
        <w:rPr>
          <w:bCs/>
          <w:color w:val="auto"/>
          <w:szCs w:val="20"/>
        </w:rPr>
        <w:t xml:space="preserve">Considerando todas as exigências, o </w:t>
      </w:r>
      <w:r w:rsidR="00D66461" w:rsidRPr="00D66461">
        <w:rPr>
          <w:bCs/>
          <w:color w:val="auto"/>
          <w:szCs w:val="20"/>
        </w:rPr>
        <w:t>Instituto de Previdência dos Servidores Públicos do Município de Pitangueiras - PITANPREV</w:t>
      </w:r>
      <w:r w:rsidR="00A66348" w:rsidRPr="00D66461">
        <w:rPr>
          <w:bCs/>
          <w:color w:val="auto"/>
          <w:szCs w:val="20"/>
        </w:rPr>
        <w:t xml:space="preserve">, </w:t>
      </w:r>
      <w:r w:rsidR="00230737" w:rsidRPr="00D66461">
        <w:rPr>
          <w:color w:val="auto"/>
        </w:rPr>
        <w:t xml:space="preserve">através de seu Edital de Credenciamento, </w:t>
      </w:r>
      <w:r w:rsidR="000B2538" w:rsidRPr="00D66461">
        <w:rPr>
          <w:color w:val="auto"/>
        </w:rPr>
        <w:t xml:space="preserve">deverá </w:t>
      </w:r>
      <w:r w:rsidR="00120E1C" w:rsidRPr="00D66461">
        <w:rPr>
          <w:color w:val="auto"/>
        </w:rPr>
        <w:t>atestar o cumprimento</w:t>
      </w:r>
      <w:r w:rsidR="00230737" w:rsidRPr="00D66461">
        <w:rPr>
          <w:color w:val="auto"/>
        </w:rPr>
        <w:t xml:space="preserve"> integral todos os </w:t>
      </w:r>
      <w:r w:rsidR="00230737" w:rsidRPr="00D66461">
        <w:rPr>
          <w:b/>
          <w:bCs/>
          <w:color w:val="auto"/>
        </w:rPr>
        <w:t>requisitos mínimos</w:t>
      </w:r>
      <w:r w:rsidR="00230737" w:rsidRPr="00D66461">
        <w:rPr>
          <w:color w:val="auto"/>
        </w:rPr>
        <w:t xml:space="preserve"> de credenciamento</w:t>
      </w:r>
      <w:r w:rsidR="004C081F" w:rsidRPr="00D66461">
        <w:rPr>
          <w:color w:val="auto"/>
        </w:rPr>
        <w:t>,</w:t>
      </w:r>
      <w:r w:rsidR="00230737" w:rsidRPr="00D66461">
        <w:rPr>
          <w:color w:val="auto"/>
        </w:rPr>
        <w:t xml:space="preserve"> inclusive:</w:t>
      </w:r>
      <w:r w:rsidR="00D66461">
        <w:rPr>
          <w:color w:val="auto"/>
        </w:rPr>
        <w:t xml:space="preserve"> </w:t>
      </w:r>
    </w:p>
    <w:p w14:paraId="3B5B3D05" w14:textId="77777777" w:rsidR="005222CD" w:rsidRPr="00D66461" w:rsidRDefault="00DA628A" w:rsidP="005222CD">
      <w:pPr>
        <w:pStyle w:val="PargrafodaLista"/>
        <w:numPr>
          <w:ilvl w:val="0"/>
          <w:numId w:val="38"/>
        </w:numPr>
        <w:rPr>
          <w:bCs/>
          <w:color w:val="auto"/>
          <w:szCs w:val="20"/>
        </w:rPr>
      </w:pPr>
      <w:r w:rsidRPr="00D66461">
        <w:rPr>
          <w:bCs/>
          <w:color w:val="auto"/>
          <w:szCs w:val="20"/>
        </w:rPr>
        <w:t>atos de registro ou autorização para funcionamento expedido pelo Banco Central do Brasil ou Comissão de Valores Mobiliários ou órgão competente;</w:t>
      </w:r>
    </w:p>
    <w:p w14:paraId="6ECBA971" w14:textId="77777777" w:rsidR="005222CD" w:rsidRPr="00D66461" w:rsidRDefault="005222CD" w:rsidP="005222CD">
      <w:pPr>
        <w:pStyle w:val="PargrafodaLista"/>
        <w:rPr>
          <w:bCs/>
          <w:color w:val="auto"/>
          <w:szCs w:val="20"/>
        </w:rPr>
      </w:pPr>
    </w:p>
    <w:p w14:paraId="0240FA00" w14:textId="77777777" w:rsidR="005222CD" w:rsidRPr="00D66461" w:rsidRDefault="00DA628A" w:rsidP="005222CD">
      <w:pPr>
        <w:pStyle w:val="PargrafodaLista"/>
        <w:numPr>
          <w:ilvl w:val="0"/>
          <w:numId w:val="38"/>
        </w:numPr>
        <w:rPr>
          <w:bCs/>
          <w:color w:val="auto"/>
          <w:szCs w:val="20"/>
        </w:rPr>
      </w:pPr>
      <w:r w:rsidRPr="00D66461">
        <w:rPr>
          <w:bCs/>
          <w:color w:val="auto"/>
          <w:szCs w:val="20"/>
        </w:rPr>
        <w:t>elevado padrão ético de conduta nas operações realizadas no mercado financeiro e ausência de restrições que, a critério do Banco Central do Brasil, da Comissão de Valores Mobiliários ou de outros órgãos competentes desaconselhem um relacionamento seguro e</w:t>
      </w:r>
    </w:p>
    <w:p w14:paraId="11C3846E" w14:textId="77777777" w:rsidR="005222CD" w:rsidRPr="00D66461" w:rsidRDefault="005222CD" w:rsidP="005222CD">
      <w:pPr>
        <w:pStyle w:val="PargrafodaLista"/>
        <w:rPr>
          <w:bCs/>
          <w:color w:val="auto"/>
          <w:szCs w:val="20"/>
        </w:rPr>
      </w:pPr>
    </w:p>
    <w:p w14:paraId="63EFC06B" w14:textId="0C5DB6F8" w:rsidR="00DA628A" w:rsidRPr="00D66461" w:rsidRDefault="00DA628A" w:rsidP="005222CD">
      <w:pPr>
        <w:pStyle w:val="PargrafodaLista"/>
        <w:numPr>
          <w:ilvl w:val="0"/>
          <w:numId w:val="38"/>
        </w:numPr>
        <w:rPr>
          <w:bCs/>
          <w:color w:val="auto"/>
          <w:szCs w:val="20"/>
        </w:rPr>
      </w:pPr>
      <w:r w:rsidRPr="00D66461">
        <w:rPr>
          <w:bCs/>
          <w:color w:val="auto"/>
          <w:szCs w:val="20"/>
        </w:rPr>
        <w:t>regularidade fiscal e previdenciária.</w:t>
      </w:r>
    </w:p>
    <w:p w14:paraId="2EC783AD" w14:textId="3F79E35E" w:rsidR="005222CD" w:rsidRPr="00D66461" w:rsidRDefault="003802B6" w:rsidP="005222CD">
      <w:pPr>
        <w:rPr>
          <w:bCs/>
          <w:color w:val="auto"/>
          <w:szCs w:val="20"/>
        </w:rPr>
      </w:pPr>
      <w:r w:rsidRPr="00D66461">
        <w:rPr>
          <w:bCs/>
          <w:color w:val="auto"/>
          <w:szCs w:val="20"/>
        </w:rPr>
        <w:t>Quando se tratar de fundo</w:t>
      </w:r>
      <w:r w:rsidR="004F41AF" w:rsidRPr="00D66461">
        <w:rPr>
          <w:bCs/>
          <w:color w:val="auto"/>
          <w:szCs w:val="20"/>
        </w:rPr>
        <w:t>s</w:t>
      </w:r>
      <w:r w:rsidRPr="00D66461">
        <w:rPr>
          <w:bCs/>
          <w:color w:val="auto"/>
          <w:szCs w:val="20"/>
        </w:rPr>
        <w:t xml:space="preserve"> de investimento</w:t>
      </w:r>
      <w:r w:rsidR="004F41AF" w:rsidRPr="00D66461">
        <w:rPr>
          <w:bCs/>
          <w:color w:val="auto"/>
          <w:szCs w:val="20"/>
        </w:rPr>
        <w:t xml:space="preserve">s, </w:t>
      </w:r>
      <w:r w:rsidR="00B62687" w:rsidRPr="00D66461">
        <w:rPr>
          <w:bCs/>
          <w:color w:val="auto"/>
          <w:szCs w:val="20"/>
        </w:rPr>
        <w:t>o credenciamento previsto recairá sobre a figura do seu gestor e do administrador</w:t>
      </w:r>
      <w:r w:rsidR="007B2F02" w:rsidRPr="00D66461">
        <w:rPr>
          <w:bCs/>
          <w:color w:val="auto"/>
          <w:szCs w:val="20"/>
        </w:rPr>
        <w:t>.</w:t>
      </w:r>
      <w:r w:rsidR="004B58EC" w:rsidRPr="00D66461">
        <w:rPr>
          <w:bCs/>
          <w:color w:val="auto"/>
          <w:szCs w:val="20"/>
        </w:rPr>
        <w:t xml:space="preserve"> Assim sendo, o</w:t>
      </w:r>
      <w:r w:rsidR="004F41AF" w:rsidRPr="00D66461">
        <w:rPr>
          <w:bCs/>
          <w:color w:val="auto"/>
          <w:szCs w:val="20"/>
        </w:rPr>
        <w:t xml:space="preserve"> </w:t>
      </w:r>
      <w:r w:rsidR="00D66461" w:rsidRPr="00D66461">
        <w:rPr>
          <w:bCs/>
          <w:color w:val="auto"/>
          <w:szCs w:val="20"/>
        </w:rPr>
        <w:t>Instituto de Previdência dos Servidores Públicos do Município de Pitangueiras - PITANPREV</w:t>
      </w:r>
      <w:r w:rsidR="00823E2E" w:rsidRPr="00D66461">
        <w:rPr>
          <w:bCs/>
          <w:color w:val="auto"/>
          <w:szCs w:val="20"/>
        </w:rPr>
        <w:t xml:space="preserve"> deverá adicionar </w:t>
      </w:r>
      <w:r w:rsidR="00D66461" w:rsidRPr="00D66461">
        <w:rPr>
          <w:bCs/>
          <w:color w:val="auto"/>
          <w:szCs w:val="20"/>
        </w:rPr>
        <w:t>à</w:t>
      </w:r>
      <w:r w:rsidR="00C87E33" w:rsidRPr="00D66461">
        <w:rPr>
          <w:bCs/>
          <w:color w:val="auto"/>
          <w:szCs w:val="20"/>
        </w:rPr>
        <w:t xml:space="preserve"> </w:t>
      </w:r>
      <w:r w:rsidR="00823E2E" w:rsidRPr="00D66461">
        <w:rPr>
          <w:bCs/>
          <w:color w:val="auto"/>
          <w:szCs w:val="20"/>
        </w:rPr>
        <w:t>lista acima</w:t>
      </w:r>
      <w:r w:rsidR="005F1B71" w:rsidRPr="00D66461">
        <w:rPr>
          <w:bCs/>
          <w:color w:val="auto"/>
          <w:szCs w:val="20"/>
        </w:rPr>
        <w:t xml:space="preserve"> os seguintes documentos:</w:t>
      </w:r>
    </w:p>
    <w:p w14:paraId="1E11D56A" w14:textId="77777777" w:rsidR="005222CD" w:rsidRPr="00D66461" w:rsidRDefault="00230737" w:rsidP="005222CD">
      <w:pPr>
        <w:pStyle w:val="PargrafodaLista"/>
        <w:numPr>
          <w:ilvl w:val="0"/>
          <w:numId w:val="39"/>
        </w:numPr>
        <w:rPr>
          <w:bCs/>
          <w:color w:val="auto"/>
          <w:szCs w:val="20"/>
        </w:rPr>
      </w:pPr>
      <w:r w:rsidRPr="00D66461">
        <w:rPr>
          <w:bCs/>
          <w:color w:val="auto"/>
          <w:szCs w:val="20"/>
        </w:rPr>
        <w:t xml:space="preserve">Termo de Análise e Atestado de Credenciamento de Administrator e Gestor de FI – Art. </w:t>
      </w:r>
      <w:r w:rsidR="00C87E33" w:rsidRPr="00D66461">
        <w:rPr>
          <w:bCs/>
          <w:color w:val="auto"/>
          <w:szCs w:val="20"/>
        </w:rPr>
        <w:t>21</w:t>
      </w:r>
      <w:r w:rsidRPr="00D66461">
        <w:rPr>
          <w:bCs/>
          <w:color w:val="auto"/>
          <w:szCs w:val="20"/>
        </w:rPr>
        <w:t xml:space="preserve">°, § 2°, </w:t>
      </w:r>
      <w:r w:rsidR="0097123D" w:rsidRPr="00D66461">
        <w:rPr>
          <w:bCs/>
          <w:color w:val="auto"/>
          <w:szCs w:val="20"/>
        </w:rPr>
        <w:t>incisos I, II e III</w:t>
      </w:r>
      <w:r w:rsidRPr="00D66461">
        <w:rPr>
          <w:bCs/>
          <w:color w:val="auto"/>
          <w:szCs w:val="20"/>
        </w:rPr>
        <w:t xml:space="preserve">, da Resolução CMN n° </w:t>
      </w:r>
      <w:r w:rsidR="0097123D" w:rsidRPr="00D66461">
        <w:rPr>
          <w:bCs/>
          <w:color w:val="auto"/>
          <w:szCs w:val="20"/>
        </w:rPr>
        <w:t>4.963/2021</w:t>
      </w:r>
      <w:r w:rsidRPr="00D66461">
        <w:rPr>
          <w:bCs/>
          <w:color w:val="auto"/>
          <w:szCs w:val="20"/>
        </w:rPr>
        <w:t>;</w:t>
      </w:r>
    </w:p>
    <w:p w14:paraId="665557CD" w14:textId="77777777" w:rsidR="005222CD" w:rsidRPr="00D66461" w:rsidRDefault="005222CD" w:rsidP="005222CD">
      <w:pPr>
        <w:pStyle w:val="PargrafodaLista"/>
        <w:rPr>
          <w:bCs/>
          <w:color w:val="auto"/>
          <w:szCs w:val="20"/>
        </w:rPr>
      </w:pPr>
    </w:p>
    <w:p w14:paraId="282360D7" w14:textId="77777777" w:rsidR="005222CD" w:rsidRPr="00D66461" w:rsidRDefault="00230737" w:rsidP="005222CD">
      <w:pPr>
        <w:pStyle w:val="PargrafodaLista"/>
        <w:numPr>
          <w:ilvl w:val="0"/>
          <w:numId w:val="39"/>
        </w:numPr>
        <w:rPr>
          <w:bCs/>
          <w:color w:val="auto"/>
          <w:szCs w:val="20"/>
        </w:rPr>
      </w:pPr>
      <w:r w:rsidRPr="00D66461">
        <w:rPr>
          <w:color w:val="auto"/>
        </w:rPr>
        <w:t>Termo de Análise de Credenciamento e Atestado de Credenciamento – Demais Administradores</w:t>
      </w:r>
      <w:r w:rsidRPr="00D66461">
        <w:rPr>
          <w:bCs/>
          <w:color w:val="auto"/>
          <w:szCs w:val="20"/>
        </w:rPr>
        <w:t xml:space="preserve"> ou Gestor de FI;</w:t>
      </w:r>
    </w:p>
    <w:p w14:paraId="7046DE29" w14:textId="77777777" w:rsidR="005222CD" w:rsidRPr="00D66461" w:rsidRDefault="005222CD" w:rsidP="005222CD">
      <w:pPr>
        <w:pStyle w:val="PargrafodaLista"/>
        <w:rPr>
          <w:color w:val="auto"/>
        </w:rPr>
      </w:pPr>
    </w:p>
    <w:p w14:paraId="6EC82F11" w14:textId="77777777" w:rsidR="005222CD" w:rsidRPr="00D66461" w:rsidRDefault="00230737" w:rsidP="005222CD">
      <w:pPr>
        <w:pStyle w:val="PargrafodaLista"/>
        <w:numPr>
          <w:ilvl w:val="0"/>
          <w:numId w:val="39"/>
        </w:numPr>
        <w:rPr>
          <w:bCs/>
          <w:color w:val="auto"/>
          <w:szCs w:val="20"/>
        </w:rPr>
      </w:pPr>
      <w:r w:rsidRPr="00D66461">
        <w:rPr>
          <w:color w:val="auto"/>
        </w:rPr>
        <w:t>Anexo ao Credenciamento – Análise de Fundo de Investimento</w:t>
      </w:r>
      <w:r w:rsidR="004C081F" w:rsidRPr="00D66461">
        <w:rPr>
          <w:bCs/>
          <w:color w:val="auto"/>
          <w:szCs w:val="20"/>
        </w:rPr>
        <w:t>;</w:t>
      </w:r>
    </w:p>
    <w:p w14:paraId="10C2A29A" w14:textId="77777777" w:rsidR="005222CD" w:rsidRPr="00D66461" w:rsidRDefault="005222CD" w:rsidP="005222CD">
      <w:pPr>
        <w:pStyle w:val="PargrafodaLista"/>
        <w:rPr>
          <w:color w:val="auto"/>
        </w:rPr>
      </w:pPr>
    </w:p>
    <w:p w14:paraId="52F9846A" w14:textId="459E8E5C" w:rsidR="00230737" w:rsidRPr="00D66461" w:rsidRDefault="00230737" w:rsidP="005222CD">
      <w:pPr>
        <w:pStyle w:val="PargrafodaLista"/>
        <w:numPr>
          <w:ilvl w:val="0"/>
          <w:numId w:val="39"/>
        </w:numPr>
        <w:rPr>
          <w:bCs/>
          <w:color w:val="auto"/>
          <w:szCs w:val="20"/>
        </w:rPr>
      </w:pPr>
      <w:r w:rsidRPr="00D66461">
        <w:rPr>
          <w:color w:val="auto"/>
        </w:rPr>
        <w:t>Termo de Análise d</w:t>
      </w:r>
      <w:r w:rsidRPr="00D66461">
        <w:rPr>
          <w:bCs/>
          <w:color w:val="auto"/>
          <w:szCs w:val="20"/>
        </w:rPr>
        <w:t>o Cadastramento do Distribuidor</w:t>
      </w:r>
      <w:r w:rsidR="004C081F" w:rsidRPr="00D66461">
        <w:rPr>
          <w:bCs/>
          <w:color w:val="auto"/>
          <w:szCs w:val="20"/>
        </w:rPr>
        <w:t>.</w:t>
      </w:r>
    </w:p>
    <w:p w14:paraId="016B2DD1" w14:textId="5B6514F3" w:rsidR="004514CE" w:rsidRPr="00D66461" w:rsidRDefault="004B58EC" w:rsidP="005222CD">
      <w:pPr>
        <w:rPr>
          <w:bCs/>
          <w:color w:val="auto"/>
          <w:szCs w:val="20"/>
        </w:rPr>
      </w:pPr>
      <w:r w:rsidRPr="00D66461">
        <w:rPr>
          <w:bCs/>
          <w:color w:val="auto"/>
          <w:szCs w:val="20"/>
        </w:rPr>
        <w:t>No processo de aná</w:t>
      </w:r>
      <w:r w:rsidR="00313BA2" w:rsidRPr="00D66461">
        <w:rPr>
          <w:bCs/>
          <w:color w:val="auto"/>
          <w:szCs w:val="20"/>
        </w:rPr>
        <w:t xml:space="preserve">lise das Instituições Financeiras, prestadores de serviços dos fundos de investimentos, </w:t>
      </w:r>
      <w:r w:rsidR="007261C8" w:rsidRPr="00D66461">
        <w:rPr>
          <w:bCs/>
          <w:color w:val="auto"/>
          <w:szCs w:val="20"/>
        </w:rPr>
        <w:t xml:space="preserve">o </w:t>
      </w:r>
      <w:r w:rsidR="00D66461" w:rsidRPr="00D66461">
        <w:rPr>
          <w:bCs/>
          <w:color w:val="auto"/>
          <w:szCs w:val="20"/>
        </w:rPr>
        <w:t xml:space="preserve">Instituto de Previdência dos Servidores Públicos do Município de Pitangueiras </w:t>
      </w:r>
      <w:r w:rsidR="00D66461">
        <w:rPr>
          <w:bCs/>
          <w:color w:val="auto"/>
          <w:szCs w:val="20"/>
        </w:rPr>
        <w:t>–</w:t>
      </w:r>
      <w:r w:rsidR="00D66461" w:rsidRPr="00D66461">
        <w:rPr>
          <w:bCs/>
          <w:color w:val="auto"/>
          <w:szCs w:val="20"/>
        </w:rPr>
        <w:t xml:space="preserve"> PITANPREV</w:t>
      </w:r>
      <w:r w:rsidR="007261C8" w:rsidRPr="00D66461">
        <w:rPr>
          <w:bCs/>
          <w:color w:val="auto"/>
          <w:szCs w:val="20"/>
        </w:rPr>
        <w:t xml:space="preserve"> deverá analisar no mínimo:</w:t>
      </w:r>
    </w:p>
    <w:p w14:paraId="1ABC46D1" w14:textId="77777777" w:rsidR="005222CD" w:rsidRPr="00D66461" w:rsidRDefault="007A0D10" w:rsidP="005222CD">
      <w:pPr>
        <w:pStyle w:val="PargrafodaLista"/>
        <w:numPr>
          <w:ilvl w:val="0"/>
          <w:numId w:val="40"/>
        </w:numPr>
        <w:rPr>
          <w:bCs/>
          <w:color w:val="auto"/>
          <w:szCs w:val="20"/>
        </w:rPr>
      </w:pPr>
      <w:r w:rsidRPr="00D66461">
        <w:rPr>
          <w:bCs/>
          <w:color w:val="auto"/>
          <w:szCs w:val="20"/>
        </w:rPr>
        <w:t>o histórico e experiência de atuação do gestor e do administrador do fundo de investimento e de seus controladores;</w:t>
      </w:r>
    </w:p>
    <w:p w14:paraId="3E471AD4" w14:textId="77777777" w:rsidR="005222CD" w:rsidRPr="00D66461" w:rsidRDefault="005222CD" w:rsidP="005222CD">
      <w:pPr>
        <w:pStyle w:val="PargrafodaLista"/>
        <w:rPr>
          <w:bCs/>
          <w:color w:val="auto"/>
          <w:szCs w:val="20"/>
        </w:rPr>
      </w:pPr>
    </w:p>
    <w:p w14:paraId="71817041" w14:textId="77777777" w:rsidR="005222CD" w:rsidRPr="00D66461" w:rsidRDefault="007A0D10" w:rsidP="005222CD">
      <w:pPr>
        <w:pStyle w:val="PargrafodaLista"/>
        <w:numPr>
          <w:ilvl w:val="0"/>
          <w:numId w:val="40"/>
        </w:numPr>
        <w:rPr>
          <w:bCs/>
          <w:color w:val="auto"/>
          <w:szCs w:val="20"/>
        </w:rPr>
      </w:pPr>
      <w:r w:rsidRPr="00D66461">
        <w:rPr>
          <w:bCs/>
          <w:color w:val="auto"/>
          <w:szCs w:val="20"/>
        </w:rPr>
        <w:t>o volume de recursos sob sua gestão e administração, bem como quanto a qualificação do corpo técnico e segregação de atividades</w:t>
      </w:r>
      <w:r w:rsidR="007C010A" w:rsidRPr="00D66461">
        <w:rPr>
          <w:bCs/>
          <w:color w:val="auto"/>
          <w:szCs w:val="20"/>
        </w:rPr>
        <w:t xml:space="preserve"> e</w:t>
      </w:r>
    </w:p>
    <w:p w14:paraId="0DBC51CC" w14:textId="77777777" w:rsidR="005222CD" w:rsidRPr="00D66461" w:rsidRDefault="005222CD" w:rsidP="005222CD">
      <w:pPr>
        <w:pStyle w:val="PargrafodaLista"/>
        <w:rPr>
          <w:bCs/>
          <w:color w:val="auto"/>
          <w:szCs w:val="20"/>
        </w:rPr>
      </w:pPr>
    </w:p>
    <w:p w14:paraId="0E7DEF68" w14:textId="620EEC05" w:rsidR="00E81305" w:rsidRPr="00D66461" w:rsidRDefault="00E81305" w:rsidP="005222CD">
      <w:pPr>
        <w:pStyle w:val="PargrafodaLista"/>
        <w:numPr>
          <w:ilvl w:val="0"/>
          <w:numId w:val="40"/>
        </w:numPr>
        <w:rPr>
          <w:bCs/>
          <w:color w:val="auto"/>
          <w:szCs w:val="20"/>
        </w:rPr>
      </w:pPr>
      <w:r w:rsidRPr="00D66461">
        <w:rPr>
          <w:bCs/>
          <w:color w:val="auto"/>
          <w:szCs w:val="20"/>
        </w:rPr>
        <w:t>aderência da rentabilidade aos indicadores de desempenho e riscos assumidos pelos fundos de investimentos sob sua gestão e administração, no período mínimo de dois anos anteriores ao credenciamento.</w:t>
      </w:r>
    </w:p>
    <w:p w14:paraId="23655B8D" w14:textId="04A5B4C0" w:rsidR="007A0D0B" w:rsidRPr="00D66461" w:rsidRDefault="008E4DAA" w:rsidP="005222CD">
      <w:pPr>
        <w:rPr>
          <w:bCs/>
          <w:color w:val="auto"/>
          <w:szCs w:val="20"/>
        </w:rPr>
      </w:pPr>
      <w:r w:rsidRPr="00D66461">
        <w:rPr>
          <w:bCs/>
          <w:color w:val="auto"/>
          <w:szCs w:val="20"/>
        </w:rPr>
        <w:t>Em aspectos mais abrangentes, o processo de seleção dos gestores e administradores, deverão ser considerados os aspectos qualitativos e quantitativos, tendo como parâmetro de análise o mínimo:</w:t>
      </w:r>
    </w:p>
    <w:p w14:paraId="0F673FE7" w14:textId="77777777" w:rsidR="004E3522" w:rsidRPr="00D66461" w:rsidRDefault="004E3522" w:rsidP="005222CD">
      <w:pPr>
        <w:ind w:left="1134"/>
        <w:rPr>
          <w:bCs/>
          <w:color w:val="auto"/>
          <w:szCs w:val="20"/>
        </w:rPr>
      </w:pPr>
      <w:r w:rsidRPr="00D66461">
        <w:rPr>
          <w:b/>
          <w:bCs/>
          <w:color w:val="auto"/>
          <w:szCs w:val="20"/>
        </w:rPr>
        <w:t>Tradição e Credibilidade da Instituição</w:t>
      </w:r>
      <w:r w:rsidRPr="00D66461">
        <w:rPr>
          <w:bCs/>
          <w:color w:val="auto"/>
          <w:szCs w:val="20"/>
        </w:rPr>
        <w:t xml:space="preserve">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14:paraId="070B427C" w14:textId="77777777" w:rsidR="004E3522" w:rsidRPr="00D66461" w:rsidRDefault="004E3522" w:rsidP="005222CD">
      <w:pPr>
        <w:ind w:left="1134"/>
        <w:rPr>
          <w:bCs/>
          <w:color w:val="auto"/>
          <w:szCs w:val="20"/>
        </w:rPr>
      </w:pPr>
      <w:r w:rsidRPr="00D66461">
        <w:rPr>
          <w:b/>
          <w:bCs/>
          <w:color w:val="auto"/>
          <w:szCs w:val="20"/>
        </w:rPr>
        <w:t>Gestão do Risco</w:t>
      </w:r>
      <w:r w:rsidRPr="00D66461">
        <w:rPr>
          <w:bCs/>
          <w:color w:val="auto"/>
          <w:szCs w:val="20"/>
        </w:rPr>
        <w:t xml:space="preserve">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w:t>
      </w:r>
      <w:r w:rsidRPr="00D66461">
        <w:rPr>
          <w:bCs/>
          <w:i/>
          <w:color w:val="auto"/>
          <w:szCs w:val="20"/>
        </w:rPr>
        <w:t>compliance</w:t>
      </w:r>
      <w:r w:rsidRPr="00D66461">
        <w:rPr>
          <w:bCs/>
          <w:color w:val="auto"/>
          <w:szCs w:val="20"/>
        </w:rPr>
        <w:t>”,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14:paraId="5602400D" w14:textId="77777777" w:rsidR="004E3522" w:rsidRPr="00D66461" w:rsidRDefault="004E3522" w:rsidP="005222CD">
      <w:pPr>
        <w:ind w:left="1134"/>
        <w:rPr>
          <w:bCs/>
          <w:color w:val="auto"/>
          <w:szCs w:val="20"/>
        </w:rPr>
      </w:pPr>
      <w:r w:rsidRPr="00D66461">
        <w:rPr>
          <w:b/>
          <w:bCs/>
          <w:color w:val="auto"/>
          <w:szCs w:val="20"/>
        </w:rPr>
        <w:t>Avaliação de aderência dos Fundos aos indicadores de desempenho (Benchmark) e riscos</w:t>
      </w:r>
      <w:r w:rsidRPr="00D66461">
        <w:rPr>
          <w:bCs/>
          <w:color w:val="auto"/>
          <w:szCs w:val="20"/>
        </w:rPr>
        <w:t xml:space="preserve"> – envolvendo a correlação da rentabilidade com seus objetivos e a consistência na entrega de resultados no período mínimo de dois anos anteriores ao credenciamento.</w:t>
      </w:r>
    </w:p>
    <w:p w14:paraId="02784D11" w14:textId="02B97445" w:rsidR="004D1769" w:rsidRPr="00D66461" w:rsidRDefault="004D1769" w:rsidP="005222CD">
      <w:pPr>
        <w:rPr>
          <w:color w:val="auto"/>
        </w:rPr>
      </w:pPr>
      <w:r w:rsidRPr="00D66461">
        <w:rPr>
          <w:color w:val="auto"/>
        </w:rPr>
        <w:lastRenderedPageBreak/>
        <w:t xml:space="preserve">Entende-se que os fundos </w:t>
      </w:r>
      <w:r w:rsidR="004C081F" w:rsidRPr="00D66461">
        <w:rPr>
          <w:color w:val="auto"/>
        </w:rPr>
        <w:t xml:space="preserve">de investimentos </w:t>
      </w:r>
      <w:r w:rsidRPr="00D66461">
        <w:rPr>
          <w:color w:val="auto"/>
        </w:rPr>
        <w:t>possuem uma gestão discricionária, na qual o gestor decide pelos investimentos que vai realizar, desde que</w:t>
      </w:r>
      <w:r w:rsidR="00D11EC2" w:rsidRPr="00D66461">
        <w:rPr>
          <w:color w:val="auto"/>
        </w:rPr>
        <w:t>,</w:t>
      </w:r>
      <w:r w:rsidRPr="00D66461">
        <w:rPr>
          <w:color w:val="auto"/>
        </w:rPr>
        <w:t xml:space="preserve"> respeitando o regulamento do fundo</w:t>
      </w:r>
      <w:r w:rsidR="00D11EC2" w:rsidRPr="00D66461">
        <w:rPr>
          <w:color w:val="auto"/>
        </w:rPr>
        <w:t xml:space="preserve"> de investimento</w:t>
      </w:r>
      <w:r w:rsidRPr="00D66461">
        <w:rPr>
          <w:color w:val="auto"/>
        </w:rPr>
        <w:t xml:space="preserve"> e as normas aplicáveis aos R</w:t>
      </w:r>
      <w:r w:rsidR="00BD4F8B" w:rsidRPr="00D66461">
        <w:rPr>
          <w:color w:val="auto"/>
        </w:rPr>
        <w:t>egimes Próprios de Previdência Social</w:t>
      </w:r>
      <w:r w:rsidRPr="00D66461">
        <w:rPr>
          <w:color w:val="auto"/>
        </w:rPr>
        <w:t>.</w:t>
      </w:r>
    </w:p>
    <w:p w14:paraId="592A680F" w14:textId="77777777" w:rsidR="00F03226" w:rsidRPr="00D66461" w:rsidRDefault="00F03226" w:rsidP="005222CD">
      <w:pPr>
        <w:rPr>
          <w:color w:val="auto"/>
        </w:rPr>
      </w:pPr>
      <w:r w:rsidRPr="00D66461">
        <w:rPr>
          <w:color w:val="auto"/>
        </w:rPr>
        <w:t>No que tange ao distribuidor, instituição integrante do sistema de distribuição ou agente autônomo de investimento, sua análise e registro recairá sobre o contrato para distribuição e mediação do produto ofertado e sua regularidade com a Comissão de Valores Mobiliários - CVM.</w:t>
      </w:r>
    </w:p>
    <w:p w14:paraId="5DA2B26C" w14:textId="34D0C52D" w:rsidR="00F03226" w:rsidRDefault="00F03226" w:rsidP="00BB08FE">
      <w:pPr>
        <w:pStyle w:val="Ttulo2"/>
      </w:pPr>
      <w:bookmarkStart w:id="101" w:name="_Toc90997494"/>
      <w:r>
        <w:t>PROCESSO DE EXECUÇÃO</w:t>
      </w:r>
      <w:bookmarkEnd w:id="101"/>
    </w:p>
    <w:p w14:paraId="5C31252B" w14:textId="072D4DB9" w:rsidR="004D1769" w:rsidRPr="00D66461" w:rsidRDefault="004D1769" w:rsidP="005222CD">
      <w:pPr>
        <w:rPr>
          <w:color w:val="auto"/>
        </w:rPr>
      </w:pPr>
      <w:r w:rsidRPr="00D66461">
        <w:rPr>
          <w:color w:val="auto"/>
        </w:rPr>
        <w:t xml:space="preserve">O </w:t>
      </w:r>
      <w:r w:rsidR="00D11EC2" w:rsidRPr="00D66461">
        <w:rPr>
          <w:color w:val="auto"/>
        </w:rPr>
        <w:t>c</w:t>
      </w:r>
      <w:r w:rsidRPr="00D66461">
        <w:rPr>
          <w:color w:val="auto"/>
        </w:rPr>
        <w:t xml:space="preserve">redenciamento se dará por meio eletrônico, </w:t>
      </w:r>
      <w:r w:rsidR="00F03226" w:rsidRPr="00D66461">
        <w:rPr>
          <w:color w:val="auto"/>
        </w:rPr>
        <w:t xml:space="preserve">através do sistema eletrônico utilizado pelo </w:t>
      </w:r>
      <w:r w:rsidR="00D66461" w:rsidRPr="00D66461">
        <w:rPr>
          <w:bCs/>
          <w:color w:val="auto"/>
          <w:szCs w:val="20"/>
        </w:rPr>
        <w:t>Instituto de Previdência dos Servidores Públicos do Município de Pitangueiras - PITANPREV</w:t>
      </w:r>
      <w:r w:rsidR="0089132B" w:rsidRPr="00D66461">
        <w:rPr>
          <w:color w:val="auto"/>
        </w:rPr>
        <w:t xml:space="preserve">, </w:t>
      </w:r>
      <w:r w:rsidRPr="00D66461">
        <w:rPr>
          <w:color w:val="auto"/>
        </w:rPr>
        <w:t xml:space="preserve">no âmbito de controle, inclusive no gerenciamento dos documentos e </w:t>
      </w:r>
      <w:r w:rsidR="00D11EC2" w:rsidRPr="00D66461">
        <w:rPr>
          <w:color w:val="auto"/>
        </w:rPr>
        <w:t>c</w:t>
      </w:r>
      <w:r w:rsidR="00D66461" w:rsidRPr="00D66461">
        <w:rPr>
          <w:color w:val="auto"/>
        </w:rPr>
        <w:t>ertidões requisitadas, ou através de meio físico com a devida solicitação ao Gestor, Administrador, Distribuidor via e-mail, de toda documentação necessária para o devido credenciamento.</w:t>
      </w:r>
    </w:p>
    <w:p w14:paraId="646BD1F7" w14:textId="63A9E4FB" w:rsidR="004D1769" w:rsidRPr="00D66461" w:rsidRDefault="004D1769" w:rsidP="005222CD">
      <w:pPr>
        <w:rPr>
          <w:color w:val="auto"/>
        </w:rPr>
      </w:pPr>
      <w:r w:rsidRPr="00D66461">
        <w:rPr>
          <w:color w:val="auto"/>
        </w:rPr>
        <w:t>Fica definido</w:t>
      </w:r>
      <w:r w:rsidR="0089132B" w:rsidRPr="00D66461">
        <w:rPr>
          <w:color w:val="auto"/>
        </w:rPr>
        <w:t xml:space="preserve"> adicionalmente como medida de segurança</w:t>
      </w:r>
      <w:r w:rsidR="00C868E5" w:rsidRPr="00D66461">
        <w:rPr>
          <w:color w:val="auto"/>
        </w:rPr>
        <w:t xml:space="preserve"> e</w:t>
      </w:r>
      <w:r w:rsidRPr="00D66461">
        <w:rPr>
          <w:color w:val="auto"/>
        </w:rPr>
        <w:t xml:space="preserve"> como critério </w:t>
      </w:r>
      <w:r w:rsidR="00C868E5" w:rsidRPr="00D66461">
        <w:rPr>
          <w:color w:val="auto"/>
        </w:rPr>
        <w:t>documental</w:t>
      </w:r>
      <w:r w:rsidRPr="00D66461">
        <w:rPr>
          <w:color w:val="auto"/>
        </w:rPr>
        <w:t xml:space="preserve"> para credenciamento, o relatório </w:t>
      </w:r>
      <w:r w:rsidRPr="00D66461">
        <w:rPr>
          <w:i/>
          <w:color w:val="auto"/>
        </w:rPr>
        <w:t xml:space="preserve">Due Diligence </w:t>
      </w:r>
      <w:r w:rsidRPr="00D66461">
        <w:rPr>
          <w:color w:val="auto"/>
        </w:rPr>
        <w:t xml:space="preserve">da ANBIMA entendidos como </w:t>
      </w:r>
      <w:r w:rsidR="00C868E5" w:rsidRPr="00D66461">
        <w:rPr>
          <w:color w:val="auto"/>
        </w:rPr>
        <w:t>“</w:t>
      </w:r>
      <w:r w:rsidR="004514CE" w:rsidRPr="00D66461">
        <w:rPr>
          <w:color w:val="auto"/>
        </w:rPr>
        <w:t>S</w:t>
      </w:r>
      <w:r w:rsidRPr="00D66461">
        <w:rPr>
          <w:color w:val="auto"/>
        </w:rPr>
        <w:t xml:space="preserve">eção </w:t>
      </w:r>
      <w:r w:rsidR="00C868E5" w:rsidRPr="00D66461">
        <w:rPr>
          <w:color w:val="auto"/>
        </w:rPr>
        <w:t>UM</w:t>
      </w:r>
      <w:r w:rsidRPr="00D66461">
        <w:rPr>
          <w:color w:val="auto"/>
        </w:rPr>
        <w:t xml:space="preserve">, </w:t>
      </w:r>
      <w:r w:rsidR="00C868E5" w:rsidRPr="00D66461">
        <w:rPr>
          <w:color w:val="auto"/>
        </w:rPr>
        <w:t>DOIS</w:t>
      </w:r>
      <w:r w:rsidRPr="00D66461">
        <w:rPr>
          <w:color w:val="auto"/>
        </w:rPr>
        <w:t xml:space="preserve"> e </w:t>
      </w:r>
      <w:r w:rsidR="00C868E5" w:rsidRPr="00D66461">
        <w:rPr>
          <w:color w:val="auto"/>
        </w:rPr>
        <w:t>TRÊS”</w:t>
      </w:r>
      <w:r w:rsidRPr="00D66461">
        <w:rPr>
          <w:color w:val="auto"/>
        </w:rPr>
        <w:t>.</w:t>
      </w:r>
    </w:p>
    <w:p w14:paraId="01010441" w14:textId="6BC07C15" w:rsidR="007B37C7" w:rsidRPr="00D66461" w:rsidRDefault="007B37C7" w:rsidP="005222CD">
      <w:pPr>
        <w:rPr>
          <w:color w:val="auto"/>
        </w:rPr>
      </w:pPr>
      <w:r w:rsidRPr="00D66461">
        <w:rPr>
          <w:color w:val="auto"/>
        </w:rPr>
        <w:t xml:space="preserve">Encontra-se qualificado participar do processo seletivo qualquer </w:t>
      </w:r>
      <w:r w:rsidR="00F94DF2" w:rsidRPr="00D66461">
        <w:rPr>
          <w:color w:val="auto"/>
        </w:rPr>
        <w:t>Instituição Financeira</w:t>
      </w:r>
      <w:r w:rsidRPr="00D66461">
        <w:rPr>
          <w:color w:val="auto"/>
        </w:rPr>
        <w:t xml:space="preserve"> administradora </w:t>
      </w:r>
      <w:r w:rsidR="00D11EC2" w:rsidRPr="00D66461">
        <w:rPr>
          <w:color w:val="auto"/>
        </w:rPr>
        <w:t>e/</w:t>
      </w:r>
      <w:r w:rsidRPr="00D66461">
        <w:rPr>
          <w:color w:val="auto"/>
        </w:rPr>
        <w:t>ou gestora de recursos financeiros dos fundos de investimentos em que figurarem instituições autorizadas a funcionar pelo Banco Central do Brasil obrigadas a instituir comitê de auditoria e comitê de riscos, nos termos das Resoluções CMN n° 3.198/2004 e n° 4.557/2017, respectivamente.</w:t>
      </w:r>
    </w:p>
    <w:p w14:paraId="55EA50BC" w14:textId="27CFABCF" w:rsidR="0068399B" w:rsidRPr="00D66461" w:rsidRDefault="0068399B" w:rsidP="005222CD">
      <w:pPr>
        <w:rPr>
          <w:color w:val="auto"/>
        </w:rPr>
      </w:pPr>
      <w:r w:rsidRPr="00D66461">
        <w:rPr>
          <w:color w:val="auto"/>
        </w:rPr>
        <w:t xml:space="preserve">Os demais parâmetros para o credenciamento foram adotados no processo de implantação das regras, procedimentos e controles internos do </w:t>
      </w:r>
      <w:r w:rsidR="00D66461" w:rsidRPr="00D66461">
        <w:rPr>
          <w:bCs/>
          <w:color w:val="auto"/>
          <w:szCs w:val="20"/>
        </w:rPr>
        <w:t>Instituto de Previdência dos Servidores Públicos do Município de Pitangueiras - PITANPREV</w:t>
      </w:r>
      <w:r w:rsidRPr="00D66461">
        <w:rPr>
          <w:color w:val="auto"/>
        </w:rPr>
        <w:t xml:space="preserve"> que visão garantir o cumprimento de suas obrigações, respeitando a Política de Investimentos estabelecida, observados os segmentos, limites e demais requisitos previstos estabelecidos e os parâmetros estabelecidos nas normas gerais de organização e funcionamento dos Regimes Próprios de Previdência Social, em regulamentação da Secretaria de Previdência.</w:t>
      </w:r>
    </w:p>
    <w:p w14:paraId="2FB07691" w14:textId="2DCBB179" w:rsidR="00BD7C79" w:rsidRDefault="00BB6924" w:rsidP="00BB08FE">
      <w:pPr>
        <w:pStyle w:val="Ttulo2"/>
      </w:pPr>
      <w:bookmarkStart w:id="102" w:name="_Toc90997495"/>
      <w:r>
        <w:t>VA</w:t>
      </w:r>
      <w:r w:rsidR="005222CD">
        <w:t>LIDADE</w:t>
      </w:r>
      <w:bookmarkEnd w:id="102"/>
    </w:p>
    <w:p w14:paraId="77171D20" w14:textId="2A9976F5" w:rsidR="00BB6924" w:rsidRPr="00D66461" w:rsidRDefault="008B0EE4" w:rsidP="005222CD">
      <w:pPr>
        <w:rPr>
          <w:color w:val="auto"/>
        </w:rPr>
      </w:pPr>
      <w:r w:rsidRPr="00D66461">
        <w:rPr>
          <w:color w:val="auto"/>
        </w:rPr>
        <w:t>A</w:t>
      </w:r>
      <w:r w:rsidR="0019501E" w:rsidRPr="00D66461">
        <w:rPr>
          <w:color w:val="auto"/>
        </w:rPr>
        <w:t>s</w:t>
      </w:r>
      <w:r w:rsidRPr="00D66461">
        <w:rPr>
          <w:color w:val="auto"/>
        </w:rPr>
        <w:t xml:space="preserve"> análise</w:t>
      </w:r>
      <w:r w:rsidR="0019501E" w:rsidRPr="00D66461">
        <w:rPr>
          <w:color w:val="auto"/>
        </w:rPr>
        <w:t>s</w:t>
      </w:r>
      <w:r w:rsidRPr="00D66461">
        <w:rPr>
          <w:color w:val="auto"/>
        </w:rPr>
        <w:t xml:space="preserve"> dos quesitos verificados no</w:t>
      </w:r>
      <w:r w:rsidR="0019501E" w:rsidRPr="00D66461">
        <w:rPr>
          <w:color w:val="auto"/>
        </w:rPr>
        <w:t>s</w:t>
      </w:r>
      <w:r w:rsidRPr="00D66461">
        <w:rPr>
          <w:color w:val="auto"/>
        </w:rPr>
        <w:t xml:space="preserve"> processo</w:t>
      </w:r>
      <w:r w:rsidR="0019501E" w:rsidRPr="00D66461">
        <w:rPr>
          <w:color w:val="auto"/>
        </w:rPr>
        <w:t>s</w:t>
      </w:r>
      <w:r w:rsidRPr="00D66461">
        <w:rPr>
          <w:color w:val="auto"/>
        </w:rPr>
        <w:t xml:space="preserve"> de credenciamento</w:t>
      </w:r>
      <w:r w:rsidR="0019501E" w:rsidRPr="00D66461">
        <w:rPr>
          <w:color w:val="auto"/>
        </w:rPr>
        <w:t>,</w:t>
      </w:r>
      <w:r w:rsidRPr="00D66461">
        <w:rPr>
          <w:color w:val="auto"/>
        </w:rPr>
        <w:t xml:space="preserve"> dever</w:t>
      </w:r>
      <w:r w:rsidR="0019501E" w:rsidRPr="00D66461">
        <w:rPr>
          <w:color w:val="auto"/>
        </w:rPr>
        <w:t>ão</w:t>
      </w:r>
      <w:r w:rsidRPr="00D66461">
        <w:rPr>
          <w:color w:val="auto"/>
        </w:rPr>
        <w:t xml:space="preserve"> ser atualizad</w:t>
      </w:r>
      <w:r w:rsidR="0019501E" w:rsidRPr="00D66461">
        <w:rPr>
          <w:color w:val="auto"/>
        </w:rPr>
        <w:t>os</w:t>
      </w:r>
      <w:r w:rsidRPr="00D66461">
        <w:rPr>
          <w:color w:val="auto"/>
        </w:rPr>
        <w:t xml:space="preserve"> a cada 12 (doze) meses </w:t>
      </w:r>
      <w:r w:rsidR="0019501E" w:rsidRPr="00D66461">
        <w:rPr>
          <w:color w:val="auto"/>
        </w:rPr>
        <w:t>ou</w:t>
      </w:r>
      <w:r w:rsidRPr="00D66461">
        <w:rPr>
          <w:color w:val="auto"/>
        </w:rPr>
        <w:t xml:space="preserve"> sempre que houver a necessidade.</w:t>
      </w:r>
    </w:p>
    <w:p w14:paraId="46FBD270" w14:textId="5B1BB346" w:rsidR="00BA6677" w:rsidRPr="00516AB2" w:rsidRDefault="00BA6677" w:rsidP="005222CD">
      <w:bookmarkStart w:id="103" w:name="_Toc435189700"/>
      <w:bookmarkStart w:id="104" w:name="_Toc435202758"/>
      <w:bookmarkStart w:id="105" w:name="_Toc490036563"/>
      <w:r w:rsidRPr="00516AB2">
        <w:br w:type="page"/>
      </w:r>
    </w:p>
    <w:p w14:paraId="45C50088" w14:textId="77777777" w:rsidR="0050706A" w:rsidRPr="00D66461" w:rsidRDefault="0050706A" w:rsidP="005222CD">
      <w:pPr>
        <w:pStyle w:val="Ttulo1"/>
        <w:spacing w:before="360"/>
        <w:rPr>
          <w:color w:val="auto"/>
        </w:rPr>
      </w:pPr>
      <w:bookmarkStart w:id="106" w:name="_Toc90997496"/>
      <w:r w:rsidRPr="00D66461">
        <w:rPr>
          <w:color w:val="auto"/>
        </w:rPr>
        <w:lastRenderedPageBreak/>
        <w:t>PRECIFICAÇÃO DE ATIVOS</w:t>
      </w:r>
      <w:bookmarkEnd w:id="106"/>
    </w:p>
    <w:p w14:paraId="31B24630" w14:textId="5E0EA290" w:rsidR="00C43795" w:rsidRPr="00D66461" w:rsidRDefault="00C43795" w:rsidP="005222CD">
      <w:pPr>
        <w:rPr>
          <w:color w:val="auto"/>
        </w:rPr>
      </w:pPr>
      <w:r w:rsidRPr="00D66461">
        <w:rPr>
          <w:color w:val="auto"/>
        </w:rPr>
        <w:t xml:space="preserve">Os princípios e critérios </w:t>
      </w:r>
      <w:r w:rsidR="00C02502" w:rsidRPr="00D66461">
        <w:rPr>
          <w:color w:val="auto"/>
        </w:rPr>
        <w:t xml:space="preserve">de precificação para os ativos e </w:t>
      </w:r>
      <w:r w:rsidRPr="00D66461">
        <w:rPr>
          <w:color w:val="auto"/>
        </w:rPr>
        <w:t xml:space="preserve">os fundos de investimentos que compõe ou que virão a compor a carteira de investimentos do </w:t>
      </w:r>
      <w:r w:rsidR="00D66461" w:rsidRPr="00D66461">
        <w:rPr>
          <w:bCs/>
          <w:color w:val="auto"/>
          <w:szCs w:val="20"/>
        </w:rPr>
        <w:t>Instituto de Previdência dos Servidores Públicos do Município de Pitangueiras - PITANPREV</w:t>
      </w:r>
      <w:r w:rsidRPr="00D66461">
        <w:rPr>
          <w:color w:val="auto"/>
        </w:rPr>
        <w:t>, deverão seguir o c</w:t>
      </w:r>
      <w:r w:rsidR="00067097" w:rsidRPr="00D66461">
        <w:rPr>
          <w:color w:val="auto"/>
        </w:rPr>
        <w:t>ritério de precificação de marcação a mercado (MaM).</w:t>
      </w:r>
    </w:p>
    <w:p w14:paraId="64F819DD" w14:textId="2D2E8DF4" w:rsidR="00FE236A" w:rsidRPr="00D66461" w:rsidRDefault="00FE236A" w:rsidP="005222CD">
      <w:pPr>
        <w:rPr>
          <w:color w:val="auto"/>
        </w:rPr>
      </w:pPr>
      <w:r w:rsidRPr="00D66461">
        <w:rPr>
          <w:color w:val="auto"/>
        </w:rPr>
        <w:t>Poderão ser contabilizados pelos respectivos custos de aquisição acrescidos dos rendimentos auferidos os Títulos Públicos Federais, desde que se cumpram cumulativamente as devidas exigências da Portaria MF n° 577, de 27 de dezembro de 2017</w:t>
      </w:r>
      <w:r w:rsidR="00662190" w:rsidRPr="00D66461">
        <w:rPr>
          <w:color w:val="auto"/>
        </w:rPr>
        <w:t xml:space="preserve"> já descritos anteriormente</w:t>
      </w:r>
      <w:r w:rsidRPr="00D66461">
        <w:rPr>
          <w:color w:val="auto"/>
        </w:rPr>
        <w:t>.</w:t>
      </w:r>
    </w:p>
    <w:p w14:paraId="43ABF860" w14:textId="02FEBCF1" w:rsidR="0050706A" w:rsidRDefault="0050706A" w:rsidP="00BB08FE">
      <w:pPr>
        <w:pStyle w:val="Ttulo2"/>
      </w:pPr>
      <w:bookmarkStart w:id="107" w:name="_Toc90997497"/>
      <w:r w:rsidRPr="00516AB2">
        <w:t>METODOLOGIA</w:t>
      </w:r>
      <w:bookmarkEnd w:id="107"/>
    </w:p>
    <w:p w14:paraId="3764596F" w14:textId="77777777" w:rsidR="007848F7" w:rsidRPr="00D66461" w:rsidRDefault="00AC0375" w:rsidP="005222CD">
      <w:pPr>
        <w:pStyle w:val="Ttulo3"/>
        <w:rPr>
          <w:color w:val="auto"/>
        </w:rPr>
      </w:pPr>
      <w:bookmarkStart w:id="108" w:name="_Toc90997498"/>
      <w:r w:rsidRPr="00D66461">
        <w:rPr>
          <w:color w:val="auto"/>
        </w:rPr>
        <w:t>MARCAÇÕES</w:t>
      </w:r>
      <w:bookmarkEnd w:id="108"/>
    </w:p>
    <w:p w14:paraId="1FC7DA02" w14:textId="77777777" w:rsidR="00576270" w:rsidRPr="00D66461" w:rsidRDefault="007740D7" w:rsidP="005222CD">
      <w:pPr>
        <w:rPr>
          <w:color w:val="auto"/>
        </w:rPr>
      </w:pPr>
      <w:r w:rsidRPr="00D66461">
        <w:rPr>
          <w:color w:val="auto"/>
        </w:rPr>
        <w:t xml:space="preserve">O processo de </w:t>
      </w:r>
      <w:r w:rsidRPr="00D66461">
        <w:rPr>
          <w:b/>
          <w:color w:val="auto"/>
          <w:u w:val="single"/>
        </w:rPr>
        <w:t>marcação a mercado</w:t>
      </w:r>
      <w:r w:rsidRPr="00D66461">
        <w:rPr>
          <w:color w:val="auto"/>
        </w:rPr>
        <w:t xml:space="preserve"> consiste em atribuir um preço justo a um determinado ativo ou derivativo, seja pelo preço de mercado, caso haja liquidez, ou seja, na ausência desta, pela melhor estimativa que o preço do ativo teria em uma eventual negociação.</w:t>
      </w:r>
    </w:p>
    <w:p w14:paraId="51033AAB" w14:textId="77777777" w:rsidR="007848F7" w:rsidRPr="00D66461" w:rsidRDefault="007848F7" w:rsidP="005222CD">
      <w:pPr>
        <w:rPr>
          <w:color w:val="auto"/>
        </w:rPr>
      </w:pPr>
      <w:r w:rsidRPr="00D66461">
        <w:rPr>
          <w:color w:val="auto"/>
        </w:rPr>
        <w:t xml:space="preserve">O processo de </w:t>
      </w:r>
      <w:r w:rsidRPr="00D66461">
        <w:rPr>
          <w:b/>
          <w:color w:val="auto"/>
          <w:u w:val="single"/>
        </w:rPr>
        <w:t>marcação na curva</w:t>
      </w:r>
      <w:r w:rsidRPr="00D66461">
        <w:rPr>
          <w:color w:val="auto"/>
        </w:rPr>
        <w:t xml:space="preserve"> consiste na contabilização do valor de compra de um determinado título, acrescido da variação da taxa de juros, desde </w:t>
      </w:r>
      <w:r w:rsidR="004B3B42" w:rsidRPr="00D66461">
        <w:rPr>
          <w:color w:val="auto"/>
        </w:rPr>
        <w:t xml:space="preserve">que </w:t>
      </w:r>
      <w:r w:rsidRPr="00D66461">
        <w:rPr>
          <w:color w:val="auto"/>
        </w:rPr>
        <w:t xml:space="preserve">a emissão do papel </w:t>
      </w:r>
      <w:r w:rsidR="004B3B42" w:rsidRPr="00D66461">
        <w:rPr>
          <w:color w:val="auto"/>
        </w:rPr>
        <w:t xml:space="preserve">seja carregada </w:t>
      </w:r>
      <w:r w:rsidRPr="00D66461">
        <w:rPr>
          <w:color w:val="auto"/>
        </w:rPr>
        <w:t>até o seu respectivo vencimento.</w:t>
      </w:r>
      <w:r w:rsidR="00BF54CB" w:rsidRPr="00D66461">
        <w:rPr>
          <w:color w:val="auto"/>
        </w:rPr>
        <w:t xml:space="preserve"> O valor será atualizado diariamente, sem considerar a oscilações de preço auferidas no mercado.</w:t>
      </w:r>
    </w:p>
    <w:p w14:paraId="03EE97F4" w14:textId="77777777" w:rsidR="0050706A" w:rsidRPr="00516AB2" w:rsidRDefault="0050706A" w:rsidP="00BB08FE">
      <w:pPr>
        <w:pStyle w:val="Ttulo2"/>
      </w:pPr>
      <w:bookmarkStart w:id="109" w:name="_Toc90997499"/>
      <w:r w:rsidRPr="00516AB2">
        <w:t>CRITÉRIOS</w:t>
      </w:r>
      <w:r w:rsidR="00134F10" w:rsidRPr="00516AB2">
        <w:t xml:space="preserve"> DE PRECIFICAÇÃO</w:t>
      </w:r>
      <w:bookmarkEnd w:id="109"/>
    </w:p>
    <w:p w14:paraId="73481958" w14:textId="77777777" w:rsidR="007740D7" w:rsidRPr="00D66461" w:rsidRDefault="00134F10" w:rsidP="005222CD">
      <w:pPr>
        <w:pStyle w:val="Ttulo3"/>
        <w:rPr>
          <w:color w:val="auto"/>
        </w:rPr>
      </w:pPr>
      <w:bookmarkStart w:id="110" w:name="_Toc90997500"/>
      <w:r w:rsidRPr="00D66461">
        <w:rPr>
          <w:color w:val="auto"/>
        </w:rPr>
        <w:t>TÍTULOS PÚBLICOS FEDERAIS</w:t>
      </w:r>
      <w:bookmarkEnd w:id="110"/>
    </w:p>
    <w:p w14:paraId="30013D88" w14:textId="77777777" w:rsidR="00C13039" w:rsidRPr="00D66461" w:rsidRDefault="00C13039" w:rsidP="005222CD">
      <w:pPr>
        <w:rPr>
          <w:color w:val="auto"/>
        </w:rPr>
      </w:pPr>
      <w:r w:rsidRPr="00D66461">
        <w:rPr>
          <w:color w:val="auto"/>
        </w:rPr>
        <w:t>São ativos de renda fixa emitidos pelo Tesouro Nacional, que representam uma forma de financiar a dívida pública e permitem que os investidores emprestem dinheiro para o governo, recebendo em troca uma determinada rentabilidade. Possuem diversas características como: liquidez diária, baixo custo, baixíssimo risco de crédito, e a solidez de uma instituição enorme por trás.</w:t>
      </w:r>
    </w:p>
    <w:p w14:paraId="3AA247EC" w14:textId="77777777" w:rsidR="00C13039" w:rsidRPr="00D66461" w:rsidRDefault="00C13039" w:rsidP="005222CD">
      <w:pPr>
        <w:rPr>
          <w:color w:val="auto"/>
        </w:rPr>
      </w:pPr>
      <w:r w:rsidRPr="00D66461">
        <w:rPr>
          <w:color w:val="auto"/>
        </w:rPr>
        <w:t>Como fonte primária de dados, a curva de títulos em reais, gerada a partir da taxa indicativa divulgada pela ANBIMA e a taxa de juros divulgada pelo Banco Central, encontramos o valor do preço unitário do título público.</w:t>
      </w:r>
    </w:p>
    <w:p w14:paraId="7EAE0771" w14:textId="77777777" w:rsidR="00211C8C" w:rsidRPr="00D66461" w:rsidRDefault="00211C8C" w:rsidP="005222CD">
      <w:pPr>
        <w:pStyle w:val="Ttulo4"/>
        <w:rPr>
          <w:color w:val="auto"/>
        </w:rPr>
      </w:pPr>
      <w:r w:rsidRPr="00D66461">
        <w:rPr>
          <w:color w:val="auto"/>
        </w:rPr>
        <w:t>Marcação a Mercado</w:t>
      </w:r>
    </w:p>
    <w:p w14:paraId="75606AAA" w14:textId="77777777" w:rsidR="004B3B42" w:rsidRPr="00D66461" w:rsidRDefault="00C13039" w:rsidP="005222CD">
      <w:pPr>
        <w:rPr>
          <w:color w:val="auto"/>
        </w:rPr>
      </w:pPr>
      <w:r w:rsidRPr="00D66461">
        <w:rPr>
          <w:color w:val="auto"/>
        </w:rPr>
        <w:t>Através do preço unitário divulgado no extrato do custodiante, multiplicado pela quantidade de títulos públicos detidos pelo regime, obtivemos o valor a mercado do título público na carteira de investimentos. Abaixo segue fórmula:</w:t>
      </w:r>
    </w:p>
    <w:p w14:paraId="0EE8FC43" w14:textId="77777777" w:rsidR="00C13039" w:rsidRPr="00D66461" w:rsidRDefault="00D13FB8" w:rsidP="00134F10">
      <w:pPr>
        <w:spacing w:after="240"/>
        <w:rPr>
          <w:color w:val="auto"/>
        </w:rPr>
      </w:pPr>
      <m:oMathPara>
        <m:oMathParaPr>
          <m:jc m:val="center"/>
        </m:oMathParaPr>
        <m:oMath>
          <m:r>
            <w:rPr>
              <w:rFonts w:ascii="Cambria Math" w:hAnsi="Cambria Math"/>
              <w:color w:val="auto"/>
            </w:rPr>
            <m:t>Vm=P</m:t>
          </m:r>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Atual</m:t>
              </m:r>
            </m:sub>
          </m:sSub>
          <m:r>
            <w:rPr>
              <w:rFonts w:ascii="Cambria Math" w:hAnsi="Cambria Math"/>
              <w:color w:val="auto"/>
            </w:rPr>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m:t>
              </m:r>
            </m:sub>
          </m:sSub>
        </m:oMath>
      </m:oMathPara>
    </w:p>
    <w:p w14:paraId="1B225D99" w14:textId="77777777" w:rsidR="00EF7905" w:rsidRPr="00D66461" w:rsidRDefault="00EF7905" w:rsidP="00AB69A3">
      <w:pPr>
        <w:spacing w:after="240"/>
        <w:rPr>
          <w:color w:val="auto"/>
        </w:rPr>
      </w:pPr>
      <w:r w:rsidRPr="00D66461">
        <w:rPr>
          <w:color w:val="auto"/>
        </w:rPr>
        <w:t>Onde:</w:t>
      </w:r>
    </w:p>
    <w:p w14:paraId="106D8675" w14:textId="77777777" w:rsidR="00C13039" w:rsidRPr="00D66461" w:rsidRDefault="00EF7905" w:rsidP="004D7769">
      <w:pPr>
        <w:spacing w:after="0"/>
        <w:ind w:left="1134"/>
        <w:rPr>
          <w:color w:val="auto"/>
        </w:rPr>
      </w:pPr>
      <w:r w:rsidRPr="00D66461">
        <w:rPr>
          <w:b/>
          <w:i/>
          <w:color w:val="auto"/>
        </w:rPr>
        <w:t>Vm</w:t>
      </w:r>
      <w:r w:rsidRPr="00D66461">
        <w:rPr>
          <w:color w:val="auto"/>
        </w:rPr>
        <w:t xml:space="preserve"> = valor de mercado</w:t>
      </w:r>
    </w:p>
    <w:p w14:paraId="54CC021B" w14:textId="77777777" w:rsidR="00EF7905" w:rsidRPr="00D66461" w:rsidRDefault="00E22307" w:rsidP="004D7769">
      <w:pPr>
        <w:spacing w:after="0"/>
        <w:ind w:left="1134"/>
        <w:rPr>
          <w:color w:val="auto"/>
        </w:rPr>
      </w:pPr>
      <m:oMath>
        <m:r>
          <w:rPr>
            <w:rFonts w:ascii="Cambria Math" w:eastAsiaTheme="minorEastAsia" w:hAnsi="Cambria Math"/>
            <w:color w:val="auto"/>
          </w:rPr>
          <m:t>P</m:t>
        </m:r>
        <m:sSub>
          <m:sSubPr>
            <m:ctrlPr>
              <w:rPr>
                <w:rFonts w:ascii="Cambria Math" w:eastAsiaTheme="minorEastAsia" w:hAnsi="Cambria Math"/>
                <w:i/>
                <w:color w:val="auto"/>
              </w:rPr>
            </m:ctrlPr>
          </m:sSubPr>
          <m:e>
            <m:r>
              <w:rPr>
                <w:rFonts w:ascii="Cambria Math" w:eastAsiaTheme="minorEastAsia" w:hAnsi="Cambria Math"/>
                <w:color w:val="auto"/>
              </w:rPr>
              <m:t>U</m:t>
            </m:r>
          </m:e>
          <m:sub>
            <m:r>
              <w:rPr>
                <w:rFonts w:ascii="Cambria Math" w:eastAsiaTheme="minorEastAsia" w:hAnsi="Cambria Math"/>
                <w:color w:val="auto"/>
              </w:rPr>
              <m:t>atual</m:t>
            </m:r>
          </m:sub>
        </m:sSub>
      </m:oMath>
      <w:r w:rsidR="00EF7905" w:rsidRPr="00D66461">
        <w:rPr>
          <w:color w:val="auto"/>
        </w:rPr>
        <w:t xml:space="preserve"> = preço unitário atual</w:t>
      </w:r>
    </w:p>
    <w:p w14:paraId="3179AA37" w14:textId="77777777" w:rsidR="004B3B42" w:rsidRPr="00D66461" w:rsidRDefault="00E22307" w:rsidP="00B829E0">
      <w:pPr>
        <w:spacing w:after="240"/>
        <w:ind w:left="1134"/>
        <w:rPr>
          <w:color w:val="auto"/>
        </w:rPr>
      </w:pPr>
      <m:oMath>
        <m:r>
          <w:rPr>
            <w:rFonts w:ascii="Cambria Math" w:hAnsi="Cambria Math"/>
            <w:color w:val="auto"/>
          </w:rPr>
          <w:lastRenderedPageBreak/>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títulos</m:t>
            </m:r>
          </m:sub>
        </m:sSub>
      </m:oMath>
      <w:r w:rsidR="00EF7905" w:rsidRPr="00D66461">
        <w:rPr>
          <w:color w:val="auto"/>
        </w:rPr>
        <w:t xml:space="preserve"> = quantidade de títulos em posso do regime</w:t>
      </w:r>
    </w:p>
    <w:p w14:paraId="2383C2BE" w14:textId="77777777" w:rsidR="00BF54CB" w:rsidRPr="00D66461" w:rsidRDefault="00BF54CB" w:rsidP="005222CD">
      <w:pPr>
        <w:pStyle w:val="Ttulo4"/>
        <w:rPr>
          <w:color w:val="auto"/>
        </w:rPr>
      </w:pPr>
      <w:r w:rsidRPr="00D66461">
        <w:rPr>
          <w:color w:val="auto"/>
        </w:rPr>
        <w:t>Marcação na Curva</w:t>
      </w:r>
    </w:p>
    <w:p w14:paraId="10D2C6CC" w14:textId="77777777" w:rsidR="00BF54CB" w:rsidRPr="00D66461" w:rsidRDefault="005E7912" w:rsidP="005222CD">
      <w:pPr>
        <w:rPr>
          <w:color w:val="auto"/>
        </w:rPr>
      </w:pPr>
      <w:r w:rsidRPr="00D66461">
        <w:rPr>
          <w:color w:val="auto"/>
        </w:rPr>
        <w:t xml:space="preserve">Como a precificação na curva é dada pela apropriação natural de juros até a data de vencimento do título, as </w:t>
      </w:r>
      <w:r w:rsidR="00713171" w:rsidRPr="00D66461">
        <w:rPr>
          <w:color w:val="auto"/>
        </w:rPr>
        <w:t>fórmula</w:t>
      </w:r>
      <w:r w:rsidRPr="00D66461">
        <w:rPr>
          <w:color w:val="auto"/>
        </w:rPr>
        <w:t>s variam de acordo com o tipo de papel, sendo</w:t>
      </w:r>
      <w:r w:rsidR="00713171" w:rsidRPr="00D66461">
        <w:rPr>
          <w:color w:val="auto"/>
        </w:rPr>
        <w:t>:</w:t>
      </w:r>
    </w:p>
    <w:p w14:paraId="01213670" w14:textId="77777777" w:rsidR="005E7912" w:rsidRPr="00D66461" w:rsidRDefault="005E7912" w:rsidP="00B829E0">
      <w:pPr>
        <w:spacing w:after="240"/>
        <w:ind w:left="708"/>
        <w:rPr>
          <w:b/>
          <w:i/>
          <w:color w:val="auto"/>
        </w:rPr>
      </w:pPr>
      <w:r w:rsidRPr="00D66461">
        <w:rPr>
          <w:b/>
          <w:i/>
          <w:color w:val="auto"/>
        </w:rPr>
        <w:t>Tesouro IPCA – NTN-B</w:t>
      </w:r>
    </w:p>
    <w:p w14:paraId="72320E3F" w14:textId="77777777" w:rsidR="005E7912" w:rsidRPr="00D66461" w:rsidRDefault="005E7912" w:rsidP="005222CD">
      <w:pPr>
        <w:rPr>
          <w:color w:val="auto"/>
        </w:rPr>
      </w:pPr>
      <w:r w:rsidRPr="00D66461">
        <w:rPr>
          <w:color w:val="auto"/>
        </w:rPr>
        <w:t>O Tesouro IPCA – NTN-B Principal possui fluxo de pagamento simples, ou seja, o investidor faz a aplicação e resgata o valor de face (valor investido somado à rentabilidade) na data de vencimento do título.</w:t>
      </w:r>
    </w:p>
    <w:p w14:paraId="0559837F" w14:textId="77777777" w:rsidR="005E7912" w:rsidRPr="00D66461" w:rsidRDefault="005E7912" w:rsidP="005222CD">
      <w:pPr>
        <w:rPr>
          <w:color w:val="auto"/>
        </w:rPr>
      </w:pPr>
      <w:r w:rsidRPr="00D66461">
        <w:rPr>
          <w:color w:val="auto"/>
        </w:rPr>
        <w:t>É um título pós-fixado cujo rendimento se dá por uma taxa definida mais a variação da taxa do Índice Nacional de Preço ao Consumidor Amplo em um determinado período.</w:t>
      </w:r>
    </w:p>
    <w:p w14:paraId="561660D9" w14:textId="77777777" w:rsidR="005E7912" w:rsidRPr="00D66461" w:rsidRDefault="005E7912" w:rsidP="005222CD">
      <w:pPr>
        <w:rPr>
          <w:color w:val="auto"/>
        </w:rPr>
      </w:pPr>
      <w:r w:rsidRPr="00D66461">
        <w:rPr>
          <w:color w:val="auto"/>
        </w:rPr>
        <w:t>O Valor Nominal Atualizado é calculado através do VNA na data de compra do título e da projeção do IPCA para a data de liquidação, seguindo a equação:</w:t>
      </w:r>
    </w:p>
    <w:p w14:paraId="338E4A23" w14:textId="77777777" w:rsidR="005E7912" w:rsidRPr="00D66461" w:rsidRDefault="005E7912" w:rsidP="005E7912">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e>
              </m:d>
            </m:e>
            <m:sup>
              <m:r>
                <w:rPr>
                  <w:rFonts w:ascii="Cambria Math" w:hAnsi="Cambria Math"/>
                  <w:color w:val="auto"/>
                </w:rPr>
                <m:t>1/252</m:t>
              </m:r>
            </m:sup>
          </m:sSup>
        </m:oMath>
      </m:oMathPara>
    </w:p>
    <w:p w14:paraId="74BEEA5E" w14:textId="77777777" w:rsidR="00E601D4" w:rsidRPr="00D66461" w:rsidRDefault="00E601D4" w:rsidP="005E7912">
      <w:pPr>
        <w:spacing w:after="240"/>
        <w:rPr>
          <w:color w:val="auto"/>
        </w:rPr>
      </w:pPr>
      <w:r w:rsidRPr="00D66461">
        <w:rPr>
          <w:color w:val="auto"/>
        </w:rPr>
        <w:t>Onde:</w:t>
      </w:r>
    </w:p>
    <w:p w14:paraId="5B320731" w14:textId="77777777" w:rsidR="00E601D4" w:rsidRPr="00D66461" w:rsidRDefault="00E601D4" w:rsidP="00B829E0">
      <w:pPr>
        <w:spacing w:after="0"/>
        <w:ind w:left="1134"/>
        <w:rPr>
          <w:rFonts w:eastAsiaTheme="minorEastAsia"/>
          <w:color w:val="auto"/>
        </w:rPr>
      </w:pPr>
      <m:oMath>
        <m:r>
          <w:rPr>
            <w:rFonts w:ascii="Cambria Math" w:hAnsi="Cambria Math"/>
            <w:color w:val="auto"/>
          </w:rPr>
          <m:t>VNA</m:t>
        </m:r>
      </m:oMath>
      <w:r w:rsidRPr="00D66461">
        <w:rPr>
          <w:rFonts w:eastAsiaTheme="minorEastAsia"/>
          <w:color w:val="auto"/>
        </w:rPr>
        <w:t xml:space="preserve"> = Valor Nominal Atualizado</w:t>
      </w:r>
    </w:p>
    <w:p w14:paraId="294AC422" w14:textId="77777777" w:rsidR="00E601D4" w:rsidRPr="00D66461" w:rsidRDefault="00C07AFB"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E601D4" w:rsidRPr="00D66461">
        <w:rPr>
          <w:rFonts w:eastAsiaTheme="minorEastAsia"/>
          <w:color w:val="auto"/>
        </w:rPr>
        <w:t xml:space="preserve"> = Valor Nominal Atualizado na data da compra</w:t>
      </w:r>
    </w:p>
    <w:p w14:paraId="34532452" w14:textId="77777777" w:rsidR="00E601D4" w:rsidRPr="00D66461" w:rsidRDefault="00C07AFB"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oMath>
      <w:r w:rsidR="00E601D4" w:rsidRPr="00D66461">
        <w:rPr>
          <w:rFonts w:eastAsiaTheme="minorEastAsia"/>
          <w:color w:val="auto"/>
        </w:rPr>
        <w:t xml:space="preserve"> = Inflação projetada para o final do exercício</w:t>
      </w:r>
    </w:p>
    <w:p w14:paraId="74A51AB4" w14:textId="77777777" w:rsidR="00E601D4" w:rsidRPr="00D66461" w:rsidRDefault="00E601D4" w:rsidP="005222CD">
      <w:pPr>
        <w:rPr>
          <w:color w:val="auto"/>
        </w:rPr>
      </w:pPr>
      <w:r w:rsidRPr="00D66461">
        <w:rPr>
          <w:color w:val="auto"/>
        </w:rPr>
        <w:t>O rendimento da aplicação é recebido pelo investidor ao longo do investimento, por meio do pagamento de juros semestrais e na data de vencimento com resgate do valor de face somado ao último cupom de juros.</w:t>
      </w:r>
    </w:p>
    <w:p w14:paraId="7CFE5F14" w14:textId="77777777" w:rsidR="00E601D4" w:rsidRPr="00D66461" w:rsidRDefault="00E601D4" w:rsidP="005B5E5B">
      <w:pPr>
        <w:spacing w:after="240"/>
        <w:ind w:left="708"/>
        <w:rPr>
          <w:b/>
          <w:i/>
          <w:color w:val="auto"/>
        </w:rPr>
      </w:pPr>
      <w:r w:rsidRPr="00D66461">
        <w:rPr>
          <w:b/>
          <w:i/>
          <w:color w:val="auto"/>
        </w:rPr>
        <w:t>Tesouro SELIC – LFT</w:t>
      </w:r>
    </w:p>
    <w:p w14:paraId="45926D7D" w14:textId="77777777" w:rsidR="00E601D4" w:rsidRPr="00D66461" w:rsidRDefault="00E601D4" w:rsidP="005222CD">
      <w:pPr>
        <w:rPr>
          <w:color w:val="auto"/>
        </w:rPr>
      </w:pPr>
      <w:r w:rsidRPr="00D66461">
        <w:rPr>
          <w:color w:val="auto"/>
        </w:rPr>
        <w:t>O Tesouro SELIC possui fluxo de pagamento simples pós-fixado pela variação da taxa SELIC.</w:t>
      </w:r>
    </w:p>
    <w:p w14:paraId="1D7F2B8E" w14:textId="77777777" w:rsidR="00E601D4" w:rsidRPr="00D66461" w:rsidRDefault="00E601D4" w:rsidP="005222CD">
      <w:pPr>
        <w:rPr>
          <w:color w:val="auto"/>
        </w:rPr>
      </w:pPr>
      <w:r w:rsidRPr="00D66461">
        <w:rPr>
          <w:color w:val="auto"/>
        </w:rPr>
        <w:t xml:space="preserve">O valor projetado a ser pago pelo título, é o valor na data base, corrigido pela taxa acumulada da SELIC até o dia de compra, mais uma correção da taxa SELIC meta para dia da liquidação do título. </w:t>
      </w:r>
      <w:r w:rsidR="00002414" w:rsidRPr="00D66461">
        <w:rPr>
          <w:color w:val="auto"/>
        </w:rPr>
        <w:t>Sendo seu cálculo:</w:t>
      </w:r>
    </w:p>
    <w:p w14:paraId="32B6A394" w14:textId="77777777" w:rsidR="00002414" w:rsidRPr="00D66461" w:rsidRDefault="00002414" w:rsidP="00002414">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e>
              </m:d>
            </m:e>
            <m:sup>
              <m:r>
                <w:rPr>
                  <w:rFonts w:ascii="Cambria Math" w:hAnsi="Cambria Math"/>
                  <w:color w:val="auto"/>
                </w:rPr>
                <m:t>1/252</m:t>
              </m:r>
            </m:sup>
          </m:sSup>
        </m:oMath>
      </m:oMathPara>
    </w:p>
    <w:p w14:paraId="23AE3910" w14:textId="77777777" w:rsidR="00002414" w:rsidRPr="00D66461" w:rsidRDefault="00002414" w:rsidP="00E601D4">
      <w:pPr>
        <w:rPr>
          <w:color w:val="auto"/>
        </w:rPr>
      </w:pPr>
    </w:p>
    <w:p w14:paraId="6DCFDB8C" w14:textId="77777777" w:rsidR="00002414" w:rsidRPr="00D66461" w:rsidRDefault="00002414" w:rsidP="00E601D4">
      <w:pPr>
        <w:rPr>
          <w:color w:val="auto"/>
        </w:rPr>
      </w:pPr>
      <w:r w:rsidRPr="00D66461">
        <w:rPr>
          <w:color w:val="auto"/>
        </w:rPr>
        <w:t>Onde:</w:t>
      </w:r>
    </w:p>
    <w:p w14:paraId="5A2687AA" w14:textId="77777777" w:rsidR="00002414" w:rsidRPr="00D66461" w:rsidRDefault="00002414" w:rsidP="00B829E0">
      <w:pPr>
        <w:spacing w:after="0"/>
        <w:ind w:left="1134"/>
        <w:rPr>
          <w:rFonts w:eastAsiaTheme="minorEastAsia"/>
          <w:color w:val="auto"/>
        </w:rPr>
      </w:pPr>
      <m:oMath>
        <m:r>
          <w:rPr>
            <w:rFonts w:ascii="Cambria Math" w:hAnsi="Cambria Math"/>
            <w:color w:val="auto"/>
          </w:rPr>
          <m:t>VNA</m:t>
        </m:r>
      </m:oMath>
      <w:r w:rsidRPr="00D66461">
        <w:rPr>
          <w:rFonts w:eastAsiaTheme="minorEastAsia"/>
          <w:color w:val="auto"/>
        </w:rPr>
        <w:t xml:space="preserve"> = Valor Nominal Atualizado</w:t>
      </w:r>
    </w:p>
    <w:p w14:paraId="132F5DB3" w14:textId="77777777" w:rsidR="00002414" w:rsidRPr="00D66461" w:rsidRDefault="00C07AFB"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002414" w:rsidRPr="00D66461">
        <w:rPr>
          <w:rFonts w:eastAsiaTheme="minorEastAsia"/>
          <w:color w:val="auto"/>
        </w:rPr>
        <w:t xml:space="preserve"> = Valor Nominal Atualizado na data da compra</w:t>
      </w:r>
    </w:p>
    <w:p w14:paraId="1B2A66CF" w14:textId="77777777" w:rsidR="00002414" w:rsidRPr="00D66461" w:rsidRDefault="00C07AFB"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oMath>
      <w:r w:rsidR="00002414" w:rsidRPr="00D66461">
        <w:rPr>
          <w:rFonts w:eastAsiaTheme="minorEastAsia"/>
          <w:color w:val="auto"/>
        </w:rPr>
        <w:t xml:space="preserve"> = Inflação atualizada</w:t>
      </w:r>
    </w:p>
    <w:p w14:paraId="744678C3" w14:textId="77777777" w:rsidR="00D66461" w:rsidRDefault="00D66461" w:rsidP="005B5E5B">
      <w:pPr>
        <w:spacing w:after="240"/>
        <w:ind w:left="708"/>
        <w:rPr>
          <w:b/>
          <w:i/>
          <w:color w:val="auto"/>
        </w:rPr>
      </w:pPr>
    </w:p>
    <w:p w14:paraId="4E93B518" w14:textId="77777777" w:rsidR="00D66461" w:rsidRDefault="00D66461" w:rsidP="005B5E5B">
      <w:pPr>
        <w:spacing w:after="240"/>
        <w:ind w:left="708"/>
        <w:rPr>
          <w:b/>
          <w:i/>
          <w:color w:val="auto"/>
        </w:rPr>
      </w:pPr>
    </w:p>
    <w:p w14:paraId="44B6D151" w14:textId="77777777" w:rsidR="00002414" w:rsidRPr="00D66461" w:rsidRDefault="00002414" w:rsidP="005B5E5B">
      <w:pPr>
        <w:spacing w:after="240"/>
        <w:ind w:left="708"/>
        <w:rPr>
          <w:b/>
          <w:i/>
          <w:color w:val="auto"/>
        </w:rPr>
      </w:pPr>
      <w:r w:rsidRPr="00D66461">
        <w:rPr>
          <w:b/>
          <w:i/>
          <w:color w:val="auto"/>
        </w:rPr>
        <w:lastRenderedPageBreak/>
        <w:t>Tesouro Prefixado – LTN</w:t>
      </w:r>
    </w:p>
    <w:p w14:paraId="3488DA28" w14:textId="77777777" w:rsidR="00002414" w:rsidRPr="00D66461" w:rsidRDefault="00002414" w:rsidP="005222CD">
      <w:pPr>
        <w:rPr>
          <w:color w:val="auto"/>
        </w:rPr>
      </w:pPr>
      <w:r w:rsidRPr="00D66461">
        <w:rPr>
          <w:color w:val="auto"/>
        </w:rPr>
        <w:t>A LTN é um título prefixado, ou seja, sua rentabilidade é definida no momento da compra, que não faz pagamentos semestrais. A rentabilidade é calculada pela diferença entre o preço de compra do título e seu valor nominal no vencimento, R$ 1.000,00.</w:t>
      </w:r>
    </w:p>
    <w:p w14:paraId="0126002F" w14:textId="77777777" w:rsidR="00002414" w:rsidRPr="00D66461" w:rsidRDefault="00002414" w:rsidP="005222CD">
      <w:pPr>
        <w:rPr>
          <w:color w:val="auto"/>
        </w:rPr>
      </w:pPr>
      <w:r w:rsidRPr="00D66461">
        <w:rPr>
          <w:color w:val="auto"/>
        </w:rPr>
        <w:t>A partir da diferença entre o preço de compra e o de venda, é possível determinar a taxa de rendimento. Essa taxa pode ser calculada de duas formas:</w:t>
      </w:r>
    </w:p>
    <w:p w14:paraId="29E1C1C6" w14:textId="77777777" w:rsidR="00002414" w:rsidRPr="00D66461"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r>
                <w:rPr>
                  <w:rFonts w:ascii="Cambria Math" w:hAnsi="Cambria Math"/>
                  <w:color w:val="auto"/>
                </w:rPr>
                <m:t>-1</m:t>
              </m:r>
            </m:e>
          </m:d>
          <m:r>
            <w:rPr>
              <w:rFonts w:ascii="Cambria Math" w:hAnsi="Cambria Math"/>
              <w:color w:val="auto"/>
            </w:rPr>
            <m:t>*100</m:t>
          </m:r>
        </m:oMath>
      </m:oMathPara>
    </w:p>
    <w:p w14:paraId="54D39355" w14:textId="77777777" w:rsidR="00002414" w:rsidRPr="00D66461" w:rsidRDefault="005005B1" w:rsidP="00002414">
      <w:pPr>
        <w:rPr>
          <w:rFonts w:eastAsiaTheme="minorEastAsia"/>
          <w:color w:val="auto"/>
        </w:rPr>
      </w:pPr>
      <w:r w:rsidRPr="00D66461">
        <w:rPr>
          <w:rFonts w:eastAsiaTheme="minorEastAsia"/>
          <w:color w:val="auto"/>
        </w:rPr>
        <w:t>Onde:</w:t>
      </w:r>
    </w:p>
    <w:p w14:paraId="53C81761" w14:textId="77777777" w:rsidR="005005B1" w:rsidRPr="00D66461" w:rsidRDefault="005005B1" w:rsidP="004D7769">
      <w:pPr>
        <w:spacing w:after="0"/>
        <w:ind w:left="1134"/>
        <w:rPr>
          <w:rFonts w:eastAsiaTheme="minorEastAsia"/>
          <w:color w:val="auto"/>
        </w:rPr>
      </w:pPr>
      <m:oMath>
        <m:r>
          <w:rPr>
            <w:rFonts w:ascii="Cambria Math" w:hAnsi="Cambria Math"/>
            <w:color w:val="auto"/>
          </w:rPr>
          <m:t>Taxa Efetiva no Período</m:t>
        </m:r>
      </m:oMath>
      <w:r w:rsidRPr="00D66461">
        <w:rPr>
          <w:rFonts w:eastAsiaTheme="minorEastAsia"/>
          <w:color w:val="auto"/>
        </w:rPr>
        <w:t xml:space="preserve"> = Taxa negociada no momento da compra</w:t>
      </w:r>
    </w:p>
    <w:p w14:paraId="3E35D12F" w14:textId="77777777" w:rsidR="005005B1" w:rsidRPr="00D66461" w:rsidRDefault="005005B1" w:rsidP="004D7769">
      <w:pPr>
        <w:spacing w:after="0"/>
        <w:ind w:left="1134"/>
        <w:rPr>
          <w:rFonts w:eastAsiaTheme="minorEastAsia"/>
          <w:color w:val="auto"/>
        </w:rPr>
      </w:pPr>
      <m:oMath>
        <m:r>
          <w:rPr>
            <w:rFonts w:ascii="Cambria Math" w:eastAsiaTheme="minorEastAsia" w:hAnsi="Cambria Math"/>
            <w:color w:val="auto"/>
          </w:rPr>
          <m:t>Valor de Venda</m:t>
        </m:r>
      </m:oMath>
      <w:r w:rsidRPr="00D66461">
        <w:rPr>
          <w:rFonts w:eastAsiaTheme="minorEastAsia"/>
          <w:color w:val="auto"/>
        </w:rPr>
        <w:t xml:space="preserve"> = Valor de negociação do Título Público na data final</w:t>
      </w:r>
    </w:p>
    <w:p w14:paraId="31A6D5F6" w14:textId="77777777" w:rsidR="005005B1" w:rsidRPr="00D66461" w:rsidRDefault="005005B1" w:rsidP="00B829E0">
      <w:pPr>
        <w:ind w:left="1134"/>
        <w:rPr>
          <w:rFonts w:eastAsiaTheme="minorEastAsia"/>
          <w:color w:val="auto"/>
        </w:rPr>
      </w:pPr>
      <m:oMath>
        <m:r>
          <w:rPr>
            <w:rFonts w:ascii="Cambria Math" w:eastAsiaTheme="minorEastAsia" w:hAnsi="Cambria Math"/>
            <w:color w:val="auto"/>
          </w:rPr>
          <m:t>Valor de Compra</m:t>
        </m:r>
      </m:oMath>
      <w:r w:rsidRPr="00D66461">
        <w:rPr>
          <w:rFonts w:eastAsiaTheme="minorEastAsia"/>
          <w:color w:val="auto"/>
        </w:rPr>
        <w:t xml:space="preserve"> = Valor de negociação do Título na aquisição</w:t>
      </w:r>
    </w:p>
    <w:p w14:paraId="686B08B2" w14:textId="77777777" w:rsidR="00002414" w:rsidRPr="00D66461" w:rsidRDefault="00002414" w:rsidP="00C0622A">
      <w:pPr>
        <w:rPr>
          <w:color w:val="auto"/>
        </w:rPr>
      </w:pPr>
      <w:r w:rsidRPr="00D66461">
        <w:rPr>
          <w:color w:val="auto"/>
        </w:rPr>
        <w:t>Ou, tendo como base um ano de 252 dias úteis:</w:t>
      </w:r>
    </w:p>
    <w:p w14:paraId="6D3975B2" w14:textId="77777777" w:rsidR="00002414" w:rsidRPr="00D66461"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sSup>
                <m:sSupPr>
                  <m:ctrlPr>
                    <w:rPr>
                      <w:rFonts w:ascii="Cambria Math" w:hAnsi="Cambria Math"/>
                      <w:i/>
                      <w:color w:val="auto"/>
                    </w:rPr>
                  </m:ctrlPr>
                </m:sSupPr>
                <m:e>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e>
                  </m:d>
                </m:e>
                <m:sup>
                  <m:f>
                    <m:fPr>
                      <m:ctrlPr>
                        <w:rPr>
                          <w:rFonts w:ascii="Cambria Math" w:hAnsi="Cambria Math"/>
                          <w:i/>
                          <w:color w:val="auto"/>
                        </w:rPr>
                      </m:ctrlPr>
                    </m:fPr>
                    <m:num>
                      <m:r>
                        <w:rPr>
                          <w:rFonts w:ascii="Cambria Math" w:hAnsi="Cambria Math"/>
                          <w:color w:val="auto"/>
                        </w:rPr>
                        <m:t>252</m:t>
                      </m:r>
                    </m:num>
                    <m:den>
                      <m:r>
                        <w:rPr>
                          <w:rFonts w:ascii="Cambria Math" w:hAnsi="Cambria Math"/>
                          <w:color w:val="auto"/>
                        </w:rPr>
                        <m:t>dias úteis no período</m:t>
                      </m:r>
                    </m:den>
                  </m:f>
                </m:sup>
              </m:sSup>
              <m:r>
                <w:rPr>
                  <w:rFonts w:ascii="Cambria Math" w:hAnsi="Cambria Math"/>
                  <w:color w:val="auto"/>
                </w:rPr>
                <m:t>-1</m:t>
              </m:r>
            </m:e>
          </m:d>
          <m:r>
            <w:rPr>
              <w:rFonts w:ascii="Cambria Math" w:hAnsi="Cambria Math"/>
              <w:color w:val="auto"/>
            </w:rPr>
            <m:t>*100</m:t>
          </m:r>
        </m:oMath>
      </m:oMathPara>
    </w:p>
    <w:p w14:paraId="5065101F" w14:textId="77777777" w:rsidR="005005B1" w:rsidRPr="00D66461" w:rsidRDefault="005005B1" w:rsidP="005005B1">
      <w:pPr>
        <w:rPr>
          <w:color w:val="auto"/>
        </w:rPr>
      </w:pPr>
      <w:r w:rsidRPr="00D66461">
        <w:rPr>
          <w:color w:val="auto"/>
        </w:rPr>
        <w:t>Onde:</w:t>
      </w:r>
    </w:p>
    <w:p w14:paraId="502842D0" w14:textId="77777777" w:rsidR="005005B1" w:rsidRPr="00D66461" w:rsidRDefault="005005B1" w:rsidP="004D7769">
      <w:pPr>
        <w:spacing w:after="0"/>
        <w:ind w:left="1134"/>
        <w:rPr>
          <w:rFonts w:eastAsiaTheme="minorEastAsia"/>
          <w:color w:val="auto"/>
        </w:rPr>
      </w:pPr>
      <m:oMath>
        <m:r>
          <w:rPr>
            <w:rFonts w:ascii="Cambria Math" w:hAnsi="Cambria Math"/>
            <w:color w:val="auto"/>
          </w:rPr>
          <m:t>Taxa Efetiva no Período</m:t>
        </m:r>
      </m:oMath>
      <w:r w:rsidRPr="00D66461">
        <w:rPr>
          <w:rFonts w:eastAsiaTheme="minorEastAsia"/>
          <w:color w:val="auto"/>
        </w:rPr>
        <w:t xml:space="preserve"> = Taxa negociada no momento da compra</w:t>
      </w:r>
    </w:p>
    <w:p w14:paraId="3397FF54" w14:textId="77777777" w:rsidR="005005B1" w:rsidRPr="00D66461" w:rsidRDefault="005005B1" w:rsidP="004D7769">
      <w:pPr>
        <w:spacing w:after="0"/>
        <w:ind w:left="1134"/>
        <w:rPr>
          <w:rFonts w:eastAsiaTheme="minorEastAsia"/>
          <w:color w:val="auto"/>
        </w:rPr>
      </w:pPr>
      <m:oMath>
        <m:r>
          <w:rPr>
            <w:rFonts w:ascii="Cambria Math" w:eastAsiaTheme="minorEastAsia" w:hAnsi="Cambria Math"/>
            <w:color w:val="auto"/>
          </w:rPr>
          <m:t>Valor de Venda</m:t>
        </m:r>
      </m:oMath>
      <w:r w:rsidRPr="00D66461">
        <w:rPr>
          <w:rFonts w:eastAsiaTheme="minorEastAsia"/>
          <w:color w:val="auto"/>
        </w:rPr>
        <w:t xml:space="preserve"> = Valor de negociação do Título Público na data final</w:t>
      </w:r>
    </w:p>
    <w:p w14:paraId="692B0438" w14:textId="191F8D9A" w:rsidR="005005B1" w:rsidRPr="00D66461" w:rsidRDefault="005005B1" w:rsidP="00B829E0">
      <w:pPr>
        <w:ind w:left="1134"/>
        <w:rPr>
          <w:rFonts w:eastAsiaTheme="minorEastAsia"/>
          <w:color w:val="auto"/>
        </w:rPr>
      </w:pPr>
      <m:oMath>
        <m:r>
          <w:rPr>
            <w:rFonts w:ascii="Cambria Math" w:eastAsiaTheme="minorEastAsia" w:hAnsi="Cambria Math"/>
            <w:color w:val="auto"/>
          </w:rPr>
          <m:t>Valor de Compra</m:t>
        </m:r>
      </m:oMath>
      <w:r w:rsidRPr="00D66461">
        <w:rPr>
          <w:rFonts w:eastAsiaTheme="minorEastAsia"/>
          <w:color w:val="auto"/>
        </w:rPr>
        <w:t xml:space="preserve"> = Valor de negociação do Título na aquisição</w:t>
      </w:r>
    </w:p>
    <w:p w14:paraId="6A881E9D" w14:textId="77777777" w:rsidR="00E50478" w:rsidRDefault="00E50478" w:rsidP="00E50478"/>
    <w:p w14:paraId="324DB5DB" w14:textId="77777777" w:rsidR="00002414" w:rsidRPr="00D66461" w:rsidRDefault="00002414" w:rsidP="005B5E5B">
      <w:pPr>
        <w:spacing w:after="240"/>
        <w:ind w:left="708"/>
        <w:rPr>
          <w:b/>
          <w:i/>
          <w:color w:val="auto"/>
        </w:rPr>
      </w:pPr>
      <w:r w:rsidRPr="00D66461">
        <w:rPr>
          <w:b/>
          <w:i/>
          <w:color w:val="auto"/>
        </w:rPr>
        <w:t>Tesouro Prefixado com Juros Semestrais – NTN-F</w:t>
      </w:r>
    </w:p>
    <w:p w14:paraId="6A466068" w14:textId="77777777" w:rsidR="00002414" w:rsidRPr="00D66461" w:rsidRDefault="004F4596" w:rsidP="00C0622A">
      <w:pPr>
        <w:rPr>
          <w:color w:val="auto"/>
        </w:rPr>
      </w:pPr>
      <w:r w:rsidRPr="00D66461">
        <w:rPr>
          <w:color w:val="auto"/>
        </w:rPr>
        <w:t>Na NTN-F ocorre uma situação semelhante a NTN-B, com pagamentos semestrais de juros só que com a taxa pré-fixada e pagamento do último cupom ocorre no vencimento do título, juntamente com o resgate do valor de face.</w:t>
      </w:r>
    </w:p>
    <w:p w14:paraId="28ED6B6C" w14:textId="77777777" w:rsidR="00362EC1" w:rsidRPr="00D66461" w:rsidRDefault="00362EC1" w:rsidP="00C0622A">
      <w:pPr>
        <w:rPr>
          <w:color w:val="auto"/>
        </w:rPr>
      </w:pPr>
      <w:r w:rsidRPr="00D66461">
        <w:rPr>
          <w:color w:val="auto"/>
        </w:rPr>
        <w:t>A rentabilidade do Tesouro Pré-fixado com Juros Semestrais pode ser calculada segundo a equação:</w:t>
      </w:r>
    </w:p>
    <w:p w14:paraId="373EC874" w14:textId="77777777" w:rsidR="00062EFA" w:rsidRPr="00D66461" w:rsidRDefault="00062EFA" w:rsidP="00002414">
      <w:pPr>
        <w:rPr>
          <w:rFonts w:eastAsiaTheme="minorEastAsia"/>
          <w:color w:val="auto"/>
        </w:rPr>
      </w:pPr>
      <m:oMathPara>
        <m:oMath>
          <m:r>
            <w:rPr>
              <w:rFonts w:ascii="Cambria Math" w:hAnsi="Cambria Math"/>
              <w:color w:val="auto"/>
            </w:rPr>
            <m:t xml:space="preserve">Preço= </m:t>
          </m:r>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m:t>
              </m:r>
            </m:sup>
            <m:e>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1,10</m:t>
                              </m:r>
                            </m:e>
                          </m:d>
                        </m:e>
                        <m:sup>
                          <m:r>
                            <w:rPr>
                              <w:rFonts w:ascii="Cambria Math" w:hAnsi="Cambria Math"/>
                              <w:color w:val="auto"/>
                            </w:rPr>
                            <m:t>0,5</m:t>
                          </m:r>
                        </m:sup>
                      </m:sSup>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e>
          </m:nary>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oMath>
      </m:oMathPara>
    </w:p>
    <w:p w14:paraId="7E9CE925" w14:textId="77777777" w:rsidR="00062EFA" w:rsidRPr="00D66461" w:rsidRDefault="00062EFA" w:rsidP="00C0622A">
      <w:pPr>
        <w:rPr>
          <w:color w:val="auto"/>
        </w:rPr>
      </w:pPr>
      <w:r w:rsidRPr="00D66461">
        <w:rPr>
          <w:color w:val="auto"/>
        </w:rPr>
        <w:t>Em que DU</w:t>
      </w:r>
      <w:r w:rsidRPr="00D66461">
        <w:rPr>
          <w:i/>
          <w:color w:val="auto"/>
        </w:rPr>
        <w:t>n</w:t>
      </w:r>
      <w:r w:rsidRPr="00D66461">
        <w:rPr>
          <w:color w:val="auto"/>
        </w:rPr>
        <w:t xml:space="preserve"> é o número de dias úteis do período e TIR é a rentabilidade anual do título.</w:t>
      </w:r>
    </w:p>
    <w:p w14:paraId="64A93CEE" w14:textId="77777777" w:rsidR="00E430FC" w:rsidRPr="00D66461" w:rsidRDefault="00E430FC" w:rsidP="005B5E5B">
      <w:pPr>
        <w:spacing w:after="240"/>
        <w:ind w:left="708"/>
        <w:rPr>
          <w:b/>
          <w:i/>
          <w:color w:val="auto"/>
        </w:rPr>
      </w:pPr>
      <w:r w:rsidRPr="00D66461">
        <w:rPr>
          <w:b/>
          <w:i/>
          <w:color w:val="auto"/>
        </w:rPr>
        <w:t>Tesouro IGPM com Juros Semestrais – NTN-C</w:t>
      </w:r>
    </w:p>
    <w:p w14:paraId="4B93667A" w14:textId="77777777" w:rsidR="00E430FC" w:rsidRPr="00D66461" w:rsidRDefault="00E430FC" w:rsidP="00C0622A">
      <w:pPr>
        <w:rPr>
          <w:color w:val="auto"/>
        </w:rPr>
      </w:pPr>
      <w:r w:rsidRPr="00D66461">
        <w:rPr>
          <w:color w:val="auto"/>
        </w:rPr>
        <w:t>A NTN-C tem funcionamento parecido com NTN-B, com a diferença no indexador, pois utiliza o IGP-M ao invés de IPCA. Atualmente, as NTN-C não são ofertadas no Tesouro Direto sendo apenas recomprado pelo Tesouro Nacional.</w:t>
      </w:r>
    </w:p>
    <w:p w14:paraId="1397350F" w14:textId="77777777" w:rsidR="00D66461" w:rsidRDefault="00D66461" w:rsidP="00C0622A">
      <w:pPr>
        <w:rPr>
          <w:color w:val="auto"/>
        </w:rPr>
      </w:pPr>
    </w:p>
    <w:p w14:paraId="70CF455D" w14:textId="77777777" w:rsidR="00E430FC" w:rsidRPr="00D66461" w:rsidRDefault="00E430FC" w:rsidP="00C0622A">
      <w:pPr>
        <w:rPr>
          <w:color w:val="auto"/>
        </w:rPr>
      </w:pPr>
      <w:r w:rsidRPr="00D66461">
        <w:rPr>
          <w:color w:val="auto"/>
        </w:rPr>
        <w:lastRenderedPageBreak/>
        <w:t>O VNA desse título pode ser calculado pela equação</w:t>
      </w:r>
      <w:r w:rsidR="00BF442A" w:rsidRPr="00D66461">
        <w:rPr>
          <w:color w:val="auto"/>
        </w:rPr>
        <w:t>:</w:t>
      </w:r>
    </w:p>
    <w:p w14:paraId="5AA4E1F7" w14:textId="77777777" w:rsidR="00BF442A" w:rsidRPr="00D66461" w:rsidRDefault="00BF442A" w:rsidP="00BF442A">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IGPM</m:t>
                      </m:r>
                    </m:e>
                    <m:sub>
                      <m:r>
                        <w:rPr>
                          <w:rFonts w:ascii="Cambria Math" w:hAnsi="Cambria Math"/>
                          <w:color w:val="auto"/>
                        </w:rPr>
                        <m:t>projetado</m:t>
                      </m:r>
                    </m:sub>
                  </m:sSub>
                </m:e>
              </m:d>
            </m:e>
            <m:sup>
              <m:r>
                <w:rPr>
                  <w:rFonts w:ascii="Cambria Math" w:hAnsi="Cambria Math"/>
                  <w:color w:val="auto"/>
                </w:rPr>
                <m:t>N1/N2</m:t>
              </m:r>
            </m:sup>
          </m:sSup>
        </m:oMath>
      </m:oMathPara>
    </w:p>
    <w:p w14:paraId="027DB134" w14:textId="77777777" w:rsidR="00BF442A" w:rsidRPr="00D66461" w:rsidRDefault="00BF442A" w:rsidP="00C0622A">
      <w:pPr>
        <w:rPr>
          <w:color w:val="auto"/>
        </w:rPr>
      </w:pPr>
      <w:r w:rsidRPr="00D66461">
        <w:rPr>
          <w:color w:val="auto"/>
        </w:rPr>
        <w:t>Onde N1 representa o número de dias corridos entre data de liquidação e primeiro do mês atual e N2 sendo o número de dias corridos entre o dia primeiro do mês seguinte e o primeiro mês atual.</w:t>
      </w:r>
    </w:p>
    <w:p w14:paraId="2B03BDA8" w14:textId="77777777" w:rsidR="00802D06" w:rsidRPr="00D66461" w:rsidRDefault="00802D06" w:rsidP="00C0622A">
      <w:pPr>
        <w:rPr>
          <w:color w:val="auto"/>
        </w:rPr>
      </w:pPr>
      <w:r w:rsidRPr="00D66461">
        <w:rPr>
          <w:color w:val="auto"/>
        </w:rPr>
        <w:t>Como metodologia final de apuração para os Títulos Públicos que apresentam o valor nominal atualizado, finaliza-se a apuraç</w:t>
      </w:r>
      <w:r w:rsidR="00190244" w:rsidRPr="00D66461">
        <w:rPr>
          <w:color w:val="auto"/>
        </w:rPr>
        <w:t>ão nos</w:t>
      </w:r>
      <w:r w:rsidRPr="00D66461">
        <w:rPr>
          <w:color w:val="auto"/>
        </w:rPr>
        <w:t xml:space="preserve"> seguinte</w:t>
      </w:r>
      <w:r w:rsidR="00190244" w:rsidRPr="00D66461">
        <w:rPr>
          <w:color w:val="auto"/>
        </w:rPr>
        <w:t>s passos</w:t>
      </w:r>
      <w:r w:rsidRPr="00D66461">
        <w:rPr>
          <w:color w:val="auto"/>
        </w:rPr>
        <w:t>:</w:t>
      </w:r>
    </w:p>
    <w:p w14:paraId="498F9E7D" w14:textId="77777777" w:rsidR="00190244" w:rsidRPr="00D66461" w:rsidRDefault="00190244" w:rsidP="00C0622A">
      <w:pPr>
        <w:rPr>
          <w:color w:val="auto"/>
        </w:rPr>
      </w:pPr>
      <w:r w:rsidRPr="00D66461">
        <w:rPr>
          <w:color w:val="auto"/>
        </w:rPr>
        <w:t>(i) identificação da cotação:</w:t>
      </w:r>
    </w:p>
    <w:p w14:paraId="25C004B1" w14:textId="77777777" w:rsidR="00802D06" w:rsidRPr="00D66461" w:rsidRDefault="00190244" w:rsidP="00E430FC">
      <w:pPr>
        <w:rPr>
          <w:rFonts w:eastAsiaTheme="minorEastAsia"/>
          <w:color w:val="auto"/>
        </w:rPr>
      </w:pPr>
      <m:oMathPara>
        <m:oMath>
          <m:r>
            <w:rPr>
              <w:rFonts w:ascii="Cambria Math" w:hAnsi="Cambria Math"/>
              <w:color w:val="auto"/>
            </w:rPr>
            <m:t xml:space="preserve">Cotação= </m:t>
          </m:r>
          <m:f>
            <m:fPr>
              <m:ctrlPr>
                <w:rPr>
                  <w:rFonts w:ascii="Cambria Math" w:hAnsi="Cambria Math"/>
                  <w:i/>
                  <w:color w:val="auto"/>
                </w:rPr>
              </m:ctrlPr>
            </m:fPr>
            <m:num>
              <m:r>
                <w:rPr>
                  <w:rFonts w:ascii="Cambria Math" w:hAnsi="Cambria Math"/>
                  <w:color w:val="auto"/>
                </w:rPr>
                <m:t>100</m:t>
              </m:r>
            </m:num>
            <m:den>
              <m:sSup>
                <m:sSupPr>
                  <m:ctrlPr>
                    <w:rPr>
                      <w:rFonts w:ascii="Cambria Math" w:hAnsi="Cambria Math"/>
                      <w:i/>
                      <w:color w:val="auto"/>
                    </w:rPr>
                  </m:ctrlPr>
                </m:sSupPr>
                <m:e>
                  <m:r>
                    <w:rPr>
                      <w:rFonts w:ascii="Cambria Math" w:hAnsi="Cambria Math"/>
                      <w:color w:val="auto"/>
                    </w:rPr>
                    <m:t>(1+Taxa)</m:t>
                  </m:r>
                </m:e>
                <m:sup>
                  <m:f>
                    <m:fPr>
                      <m:ctrlPr>
                        <w:rPr>
                          <w:rFonts w:ascii="Cambria Math" w:hAnsi="Cambria Math"/>
                          <w:i/>
                          <w:color w:val="auto"/>
                        </w:rPr>
                      </m:ctrlPr>
                    </m:fPr>
                    <m:num>
                      <m:r>
                        <w:rPr>
                          <w:rFonts w:ascii="Cambria Math" w:hAnsi="Cambria Math"/>
                          <w:color w:val="auto"/>
                        </w:rPr>
                        <m:t>DU</m:t>
                      </m:r>
                    </m:num>
                    <m:den>
                      <m:r>
                        <w:rPr>
                          <w:rFonts w:ascii="Cambria Math" w:hAnsi="Cambria Math"/>
                          <w:color w:val="auto"/>
                        </w:rPr>
                        <m:t>252</m:t>
                      </m:r>
                    </m:den>
                  </m:f>
                </m:sup>
              </m:sSup>
            </m:den>
          </m:f>
        </m:oMath>
      </m:oMathPara>
    </w:p>
    <w:p w14:paraId="5280C7A0" w14:textId="77777777" w:rsidR="00190244" w:rsidRPr="00D66461" w:rsidRDefault="00190244" w:rsidP="00E430FC">
      <w:pPr>
        <w:rPr>
          <w:rFonts w:eastAsiaTheme="minorEastAsia"/>
          <w:color w:val="auto"/>
        </w:rPr>
      </w:pPr>
      <w:r w:rsidRPr="00D66461">
        <w:rPr>
          <w:rFonts w:eastAsiaTheme="minorEastAsia"/>
          <w:color w:val="auto"/>
        </w:rPr>
        <w:t>Onde:</w:t>
      </w:r>
    </w:p>
    <w:p w14:paraId="31773059" w14:textId="77777777" w:rsidR="00190244" w:rsidRPr="00D66461" w:rsidRDefault="00190244" w:rsidP="004D7769">
      <w:pPr>
        <w:spacing w:after="0"/>
        <w:ind w:left="1134"/>
        <w:rPr>
          <w:rFonts w:eastAsiaTheme="minorEastAsia"/>
          <w:color w:val="auto"/>
        </w:rPr>
      </w:pPr>
      <m:oMath>
        <m:r>
          <w:rPr>
            <w:rFonts w:ascii="Cambria Math" w:hAnsi="Cambria Math"/>
            <w:color w:val="auto"/>
          </w:rPr>
          <m:t>Cotação</m:t>
        </m:r>
      </m:oMath>
      <w:r w:rsidRPr="00D66461">
        <w:rPr>
          <w:rFonts w:eastAsiaTheme="minorEastAsia"/>
          <w:color w:val="auto"/>
        </w:rPr>
        <w:t xml:space="preserve"> = é o valor unitário apresentado em um dia</w:t>
      </w:r>
    </w:p>
    <w:p w14:paraId="44869D66" w14:textId="77777777" w:rsidR="00190244" w:rsidRPr="00D66461" w:rsidRDefault="00190244" w:rsidP="00B829E0">
      <w:pPr>
        <w:ind w:left="1134"/>
        <w:rPr>
          <w:rFonts w:eastAsiaTheme="minorEastAsia"/>
          <w:color w:val="auto"/>
        </w:rPr>
      </w:pPr>
      <m:oMath>
        <m:r>
          <w:rPr>
            <w:rFonts w:ascii="Cambria Math" w:eastAsiaTheme="minorEastAsia" w:hAnsi="Cambria Math"/>
            <w:color w:val="auto"/>
          </w:rPr>
          <m:t>Taxa</m:t>
        </m:r>
      </m:oMath>
      <w:r w:rsidRPr="00D66461">
        <w:rPr>
          <w:rFonts w:eastAsiaTheme="minorEastAsia"/>
          <w:color w:val="auto"/>
        </w:rPr>
        <w:t xml:space="preserve"> = taxa de negociação ou compra o Título Público Federal</w:t>
      </w:r>
    </w:p>
    <w:p w14:paraId="7B512E70" w14:textId="77777777" w:rsidR="00190244" w:rsidRPr="00D66461" w:rsidRDefault="00190244" w:rsidP="00190244">
      <w:pPr>
        <w:rPr>
          <w:color w:val="auto"/>
        </w:rPr>
      </w:pPr>
      <w:r w:rsidRPr="00D66461">
        <w:rPr>
          <w:color w:val="auto"/>
        </w:rPr>
        <w:t>(ii) identificação do preço atual:</w:t>
      </w:r>
    </w:p>
    <w:p w14:paraId="746F7D77" w14:textId="77777777" w:rsidR="00190244" w:rsidRPr="00D66461" w:rsidRDefault="00190244" w:rsidP="00190244">
      <w:pPr>
        <w:rPr>
          <w:rFonts w:eastAsiaTheme="minorEastAsia"/>
          <w:color w:val="auto"/>
        </w:rPr>
      </w:pPr>
      <m:oMathPara>
        <m:oMathParaPr>
          <m:jc m:val="center"/>
        </m:oMathParaPr>
        <m:oMath>
          <m:r>
            <w:rPr>
              <w:rFonts w:ascii="Cambria Math" w:eastAsiaTheme="minorEastAsia" w:hAnsi="Cambria Math"/>
              <w:color w:val="auto"/>
            </w:rPr>
            <m:t xml:space="preserve">Preço= VNA* </m:t>
          </m:r>
          <m:d>
            <m:dPr>
              <m:begChr m:val="["/>
              <m:endChr m:val="]"/>
              <m:ctrlPr>
                <w:rPr>
                  <w:rFonts w:ascii="Cambria Math" w:eastAsiaTheme="minorEastAsia" w:hAnsi="Cambria Math"/>
                  <w:i/>
                  <w:color w:val="auto"/>
                </w:rPr>
              </m:ctrlPr>
            </m:dPr>
            <m:e>
              <m:f>
                <m:fPr>
                  <m:ctrlPr>
                    <w:rPr>
                      <w:rFonts w:ascii="Cambria Math" w:eastAsiaTheme="minorEastAsia" w:hAnsi="Cambria Math"/>
                      <w:i/>
                      <w:color w:val="auto"/>
                    </w:rPr>
                  </m:ctrlPr>
                </m:fPr>
                <m:num>
                  <m:r>
                    <w:rPr>
                      <w:rFonts w:ascii="Cambria Math" w:eastAsiaTheme="minorEastAsia" w:hAnsi="Cambria Math"/>
                      <w:color w:val="auto"/>
                    </w:rPr>
                    <m:t>Cotação</m:t>
                  </m:r>
                </m:num>
                <m:den>
                  <m:r>
                    <w:rPr>
                      <w:rFonts w:ascii="Cambria Math" w:eastAsiaTheme="minorEastAsia" w:hAnsi="Cambria Math"/>
                      <w:color w:val="auto"/>
                    </w:rPr>
                    <m:t>100</m:t>
                  </m:r>
                </m:den>
              </m:f>
            </m:e>
          </m:d>
        </m:oMath>
      </m:oMathPara>
    </w:p>
    <w:p w14:paraId="742D24F4" w14:textId="77777777" w:rsidR="00190244" w:rsidRPr="00D66461" w:rsidRDefault="00190244" w:rsidP="00190244">
      <w:pPr>
        <w:rPr>
          <w:rFonts w:eastAsiaTheme="minorEastAsia"/>
          <w:color w:val="auto"/>
        </w:rPr>
      </w:pPr>
      <w:r w:rsidRPr="00D66461">
        <w:rPr>
          <w:rFonts w:eastAsiaTheme="minorEastAsia"/>
          <w:color w:val="auto"/>
        </w:rPr>
        <w:t>Onde:</w:t>
      </w:r>
    </w:p>
    <w:p w14:paraId="02EFA60C" w14:textId="77777777" w:rsidR="00190244" w:rsidRPr="00D66461" w:rsidRDefault="00190244" w:rsidP="004D7769">
      <w:pPr>
        <w:spacing w:after="0"/>
        <w:ind w:left="1134"/>
        <w:rPr>
          <w:rFonts w:eastAsiaTheme="minorEastAsia"/>
          <w:color w:val="auto"/>
        </w:rPr>
      </w:pPr>
      <m:oMath>
        <m:r>
          <w:rPr>
            <w:rFonts w:ascii="Cambria Math" w:eastAsiaTheme="minorEastAsia" w:hAnsi="Cambria Math"/>
            <w:color w:val="auto"/>
          </w:rPr>
          <m:t>Preço</m:t>
        </m:r>
      </m:oMath>
      <w:r w:rsidRPr="00D66461">
        <w:rPr>
          <w:rFonts w:eastAsiaTheme="minorEastAsia"/>
          <w:color w:val="auto"/>
        </w:rPr>
        <w:t xml:space="preserve"> = valor unitário do Título Público Federal</w:t>
      </w:r>
    </w:p>
    <w:p w14:paraId="3EC1C226" w14:textId="77777777" w:rsidR="00190244" w:rsidRPr="00D66461" w:rsidRDefault="00190244" w:rsidP="004D7769">
      <w:pPr>
        <w:spacing w:after="0"/>
        <w:ind w:left="1134"/>
        <w:rPr>
          <w:rFonts w:eastAsiaTheme="minorEastAsia"/>
          <w:color w:val="auto"/>
        </w:rPr>
      </w:pPr>
      <m:oMath>
        <m:r>
          <w:rPr>
            <w:rFonts w:ascii="Cambria Math" w:hAnsi="Cambria Math"/>
            <w:color w:val="auto"/>
          </w:rPr>
          <m:t>VNA</m:t>
        </m:r>
      </m:oMath>
      <w:r w:rsidRPr="00D66461">
        <w:rPr>
          <w:rFonts w:eastAsiaTheme="minorEastAsia"/>
          <w:color w:val="auto"/>
        </w:rPr>
        <w:t xml:space="preserve"> = Valor Nominal Atualizado</w:t>
      </w:r>
    </w:p>
    <w:p w14:paraId="2A41F098" w14:textId="030B6CCB" w:rsidR="00190244" w:rsidRPr="00D66461" w:rsidRDefault="00190244" w:rsidP="00B829E0">
      <w:pPr>
        <w:ind w:left="1134"/>
        <w:rPr>
          <w:rFonts w:eastAsiaTheme="minorEastAsia"/>
          <w:color w:val="auto"/>
        </w:rPr>
      </w:pPr>
      <m:oMath>
        <m:r>
          <w:rPr>
            <w:rFonts w:ascii="Cambria Math" w:hAnsi="Cambria Math"/>
            <w:color w:val="auto"/>
          </w:rPr>
          <m:t>Cotação</m:t>
        </m:r>
      </m:oMath>
      <w:r w:rsidRPr="00D66461">
        <w:rPr>
          <w:rFonts w:eastAsiaTheme="minorEastAsia"/>
          <w:color w:val="auto"/>
        </w:rPr>
        <w:t xml:space="preserve"> = é o valor unitário apresentado em um dia</w:t>
      </w:r>
    </w:p>
    <w:p w14:paraId="3EB7B7F5" w14:textId="77777777" w:rsidR="00C13039" w:rsidRPr="00D66461" w:rsidRDefault="00197355" w:rsidP="00C0622A">
      <w:pPr>
        <w:pStyle w:val="Ttulo3"/>
        <w:rPr>
          <w:color w:val="auto"/>
        </w:rPr>
      </w:pPr>
      <w:bookmarkStart w:id="111" w:name="_Toc90997501"/>
      <w:r w:rsidRPr="00D66461">
        <w:rPr>
          <w:color w:val="auto"/>
        </w:rPr>
        <w:t>FUNDOS DE INVESTIMENTOS</w:t>
      </w:r>
      <w:bookmarkEnd w:id="111"/>
    </w:p>
    <w:p w14:paraId="29190972" w14:textId="77777777" w:rsidR="00D13FB8" w:rsidRPr="00D66461" w:rsidRDefault="003F24F1" w:rsidP="00C0622A">
      <w:pPr>
        <w:rPr>
          <w:color w:val="auto"/>
        </w:rPr>
      </w:pPr>
      <w:r w:rsidRPr="00D66461">
        <w:rPr>
          <w:color w:val="auto"/>
        </w:rPr>
        <w:t>A Instrução CVM 555 dispõe sobre a constituição, a administração, o funcionamento e a divulgação de informações dos fundos de investimento.</w:t>
      </w:r>
    </w:p>
    <w:p w14:paraId="408C3348" w14:textId="77777777" w:rsidR="003F24F1" w:rsidRPr="00D66461" w:rsidRDefault="003F24F1" w:rsidP="00C0622A">
      <w:pPr>
        <w:rPr>
          <w:color w:val="auto"/>
        </w:rPr>
      </w:pPr>
      <w:r w:rsidRPr="00D66461">
        <w:rPr>
          <w:color w:val="auto"/>
        </w:rPr>
        <w:t>O investimento em um fundo de investimento, portanto, confere domínio direto sobre fração ideal do patrimônio dado que cada cotista possui propriedade proporcional dos ativos inerentes à composição de cada fundo, sendo inteiramente responsável pelo ônus ou bônus dessa propriedade.</w:t>
      </w:r>
    </w:p>
    <w:p w14:paraId="5D9814F7" w14:textId="77777777" w:rsidR="003F24F1" w:rsidRPr="00D66461" w:rsidRDefault="00D13FB8" w:rsidP="00C0622A">
      <w:pPr>
        <w:rPr>
          <w:color w:val="auto"/>
        </w:rPr>
      </w:pPr>
      <w:r w:rsidRPr="00D66461">
        <w:rPr>
          <w:color w:val="auto"/>
        </w:rPr>
        <w:t>Através de divulgação pública e oficial, calcula-se o retorno do fundo de investimentos auferindo o rendimento do período, multiplicado pelo valor atual. Abaixo segue fórmula:</w:t>
      </w:r>
    </w:p>
    <w:p w14:paraId="2E693055" w14:textId="77777777" w:rsidR="00D13FB8" w:rsidRPr="00D66461" w:rsidRDefault="00D13FB8" w:rsidP="003F24F1">
      <w:pPr>
        <w:rPr>
          <w:rFonts w:eastAsiaTheme="minorEastAsia"/>
          <w:color w:val="auto"/>
        </w:rPr>
      </w:pPr>
      <m:oMathPara>
        <m:oMath>
          <m:r>
            <w:rPr>
              <w:rFonts w:ascii="Cambria Math" w:hAnsi="Cambria Math"/>
              <w:color w:val="auto"/>
            </w:rPr>
            <m:t>retorno=</m:t>
          </m:r>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e>
          </m:d>
          <m:r>
            <w:rPr>
              <w:rFonts w:ascii="Cambria Math" w:hAnsi="Cambria Math"/>
              <w:color w:val="auto"/>
            </w:rPr>
            <m:t>* 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m:oMathPara>
    </w:p>
    <w:p w14:paraId="146FF63D" w14:textId="77777777" w:rsidR="00D13FB8" w:rsidRPr="00D66461" w:rsidRDefault="00D13FB8" w:rsidP="00C0622A">
      <w:pPr>
        <w:rPr>
          <w:color w:val="auto"/>
        </w:rPr>
      </w:pPr>
      <w:r w:rsidRPr="00D66461">
        <w:rPr>
          <w:color w:val="auto"/>
        </w:rPr>
        <w:t>Onde:</w:t>
      </w:r>
    </w:p>
    <w:p w14:paraId="26462EF8" w14:textId="77777777" w:rsidR="00D13FB8" w:rsidRPr="00D66461" w:rsidRDefault="00D13FB8" w:rsidP="00C0622A">
      <w:pPr>
        <w:rPr>
          <w:color w:val="auto"/>
        </w:rPr>
      </w:pPr>
      <w:r w:rsidRPr="00D66461">
        <w:rPr>
          <w:color w:val="auto"/>
        </w:rPr>
        <w:t>Retorno: valor da diferente do montante aportado e o resultado final do período</w:t>
      </w:r>
    </w:p>
    <w:p w14:paraId="6D84AB65" w14:textId="77777777" w:rsidR="00D13FB8" w:rsidRPr="00D66461" w:rsidRDefault="00C07AFB" w:rsidP="004D7769">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oMath>
      <w:r w:rsidR="00D13FB8" w:rsidRPr="00D66461">
        <w:rPr>
          <w:rFonts w:eastAsiaTheme="minorEastAsia"/>
          <w:color w:val="auto"/>
        </w:rPr>
        <w:t xml:space="preserve"> </w:t>
      </w:r>
      <w:r w:rsidR="00B137CF" w:rsidRPr="00D66461">
        <w:rPr>
          <w:rFonts w:eastAsiaTheme="minorEastAsia"/>
          <w:color w:val="auto"/>
        </w:rPr>
        <w:t>: s</w:t>
      </w:r>
      <w:r w:rsidR="00D13FB8" w:rsidRPr="00D66461">
        <w:rPr>
          <w:rFonts w:eastAsiaTheme="minorEastAsia"/>
          <w:color w:val="auto"/>
        </w:rPr>
        <w:t>aldo inicial do investimento</w:t>
      </w:r>
    </w:p>
    <w:p w14:paraId="15B03097" w14:textId="77777777" w:rsidR="00D13FB8" w:rsidRPr="00D66461" w:rsidRDefault="00D13FB8" w:rsidP="00B829E0">
      <w:pPr>
        <w:ind w:left="1134"/>
        <w:rPr>
          <w:rFonts w:eastAsiaTheme="minorEastAsia"/>
          <w:color w:val="auto"/>
        </w:rPr>
      </w:pPr>
      <m:oMath>
        <m:r>
          <w:rPr>
            <w:rFonts w:ascii="Cambria Math" w:hAnsi="Cambria Math"/>
            <w:color w:val="auto"/>
          </w:rPr>
          <m:t>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w:r w:rsidRPr="00D66461">
        <w:rPr>
          <w:rFonts w:eastAsiaTheme="minorEastAsia"/>
          <w:color w:val="auto"/>
        </w:rPr>
        <w:t xml:space="preserve"> </w:t>
      </w:r>
      <w:r w:rsidR="00B137CF" w:rsidRPr="00D66461">
        <w:rPr>
          <w:rFonts w:eastAsiaTheme="minorEastAsia"/>
          <w:color w:val="auto"/>
        </w:rPr>
        <w:t>: r</w:t>
      </w:r>
      <w:r w:rsidRPr="00D66461">
        <w:rPr>
          <w:rFonts w:eastAsiaTheme="minorEastAsia"/>
          <w:color w:val="auto"/>
        </w:rPr>
        <w:t>endimento do fundo de investimento em um determinado período (em percentual)</w:t>
      </w:r>
    </w:p>
    <w:p w14:paraId="2344BDBD" w14:textId="77777777" w:rsidR="00D13FB8" w:rsidRPr="00D66461" w:rsidRDefault="00D13FB8" w:rsidP="00C0622A">
      <w:pPr>
        <w:rPr>
          <w:color w:val="auto"/>
        </w:rPr>
      </w:pPr>
      <w:r w:rsidRPr="00D66461">
        <w:rPr>
          <w:color w:val="auto"/>
        </w:rPr>
        <w:lastRenderedPageBreak/>
        <w:t xml:space="preserve">Para auferir o valor aportado no </w:t>
      </w:r>
      <w:r w:rsidR="00E32297" w:rsidRPr="00D66461">
        <w:rPr>
          <w:color w:val="auto"/>
        </w:rPr>
        <w:t>fundo</w:t>
      </w:r>
      <w:r w:rsidRPr="00D66461">
        <w:rPr>
          <w:color w:val="auto"/>
        </w:rPr>
        <w:t xml:space="preserve"> de investimento quanto a sua posição em relação a quantidade de cotas, calcula-se:</w:t>
      </w:r>
    </w:p>
    <w:p w14:paraId="1F2FCDEF" w14:textId="77777777" w:rsidR="00D13FB8" w:rsidRPr="00D66461" w:rsidRDefault="00C07AFB" w:rsidP="00D13FB8">
      <w:pPr>
        <w:spacing w:before="240"/>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m:oMathPara>
    </w:p>
    <w:p w14:paraId="07FC0E3D" w14:textId="77777777" w:rsidR="00D13FB8" w:rsidRPr="00D66461" w:rsidRDefault="00D13FB8" w:rsidP="00D13FB8">
      <w:pPr>
        <w:spacing w:before="240"/>
        <w:rPr>
          <w:rFonts w:eastAsiaTheme="minorEastAsia"/>
          <w:color w:val="auto"/>
        </w:rPr>
      </w:pPr>
      <w:r w:rsidRPr="00D66461">
        <w:rPr>
          <w:rFonts w:eastAsiaTheme="minorEastAsia"/>
          <w:color w:val="auto"/>
        </w:rPr>
        <w:t>Onde:</w:t>
      </w:r>
    </w:p>
    <w:p w14:paraId="6BBAE76A" w14:textId="77777777" w:rsidR="00D13FB8" w:rsidRPr="00D66461" w:rsidRDefault="00C07AFB" w:rsidP="004D7769">
      <w:pPr>
        <w:spacing w:after="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oMath>
      <w:r w:rsidR="00D13FB8" w:rsidRPr="00D66461">
        <w:rPr>
          <w:rFonts w:eastAsiaTheme="minorEastAsia"/>
          <w:color w:val="auto"/>
        </w:rPr>
        <w:t xml:space="preserve"> : valor </w:t>
      </w:r>
      <w:r w:rsidR="00B137CF" w:rsidRPr="00D66461">
        <w:rPr>
          <w:rFonts w:eastAsiaTheme="minorEastAsia"/>
          <w:color w:val="auto"/>
        </w:rPr>
        <w:t>atual do investimento</w:t>
      </w:r>
    </w:p>
    <w:p w14:paraId="7C4CC29E" w14:textId="77777777" w:rsidR="00B137CF" w:rsidRPr="00D66461" w:rsidRDefault="00C07AFB" w:rsidP="004D7769">
      <w:pPr>
        <w:spacing w:after="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oMath>
      <w:r w:rsidR="00B137CF" w:rsidRPr="00D66461">
        <w:rPr>
          <w:rFonts w:eastAsiaTheme="minorEastAsia"/>
          <w:color w:val="auto"/>
        </w:rPr>
        <w:t xml:space="preserve"> : valor da cota no dia</w:t>
      </w:r>
    </w:p>
    <w:p w14:paraId="27D32402" w14:textId="77777777" w:rsidR="00B137CF" w:rsidRPr="00D66461" w:rsidRDefault="00B137CF" w:rsidP="004D7769">
      <w:pPr>
        <w:ind w:left="1701"/>
        <w:jc w:val="left"/>
        <w:rPr>
          <w:rFonts w:eastAsiaTheme="minorEastAsia"/>
          <w:color w:val="auto"/>
        </w:rPr>
      </w:pPr>
      <m:oMath>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w:r w:rsidRPr="00D66461">
        <w:rPr>
          <w:rFonts w:eastAsiaTheme="minorEastAsia"/>
          <w:color w:val="auto"/>
        </w:rPr>
        <w:t xml:space="preserve"> : quantidade de cotas adquiridas mediante aporte no fundo de investimento</w:t>
      </w:r>
    </w:p>
    <w:p w14:paraId="6A1916E6" w14:textId="54FD37CE" w:rsidR="00CA71C8" w:rsidRPr="00D66461" w:rsidRDefault="00CA71C8" w:rsidP="00C0622A">
      <w:pPr>
        <w:rPr>
          <w:color w:val="auto"/>
        </w:rPr>
      </w:pPr>
      <w:r w:rsidRPr="00D66461">
        <w:rPr>
          <w:color w:val="auto"/>
        </w:rPr>
        <w:t xml:space="preserve">Em caso de fundos de investimento imobiliários (FII), onde consta </w:t>
      </w:r>
      <w:r w:rsidR="00EF71C5" w:rsidRPr="00D66461">
        <w:rPr>
          <w:color w:val="auto"/>
        </w:rPr>
        <w:t xml:space="preserve">ao menos uma </w:t>
      </w:r>
      <w:r w:rsidRPr="00D66461">
        <w:rPr>
          <w:color w:val="auto"/>
        </w:rPr>
        <w:t xml:space="preserve">negociação de compra e venda no mercado secundário através de seu </w:t>
      </w:r>
      <w:r w:rsidRPr="00D66461">
        <w:rPr>
          <w:i/>
          <w:color w:val="auto"/>
        </w:rPr>
        <w:t xml:space="preserve">ticker; </w:t>
      </w:r>
      <w:r w:rsidRPr="00D66461">
        <w:rPr>
          <w:color w:val="auto"/>
        </w:rPr>
        <w:t xml:space="preserve">esse será calculado através </w:t>
      </w:r>
      <w:r w:rsidR="00EF71C5" w:rsidRPr="00D66461">
        <w:rPr>
          <w:color w:val="auto"/>
        </w:rPr>
        <w:t xml:space="preserve">do valor de mercado divulgado no site do </w:t>
      </w:r>
      <w:r w:rsidR="007C100D" w:rsidRPr="00D66461">
        <w:rPr>
          <w:color w:val="auto"/>
        </w:rPr>
        <w:t>B3</w:t>
      </w:r>
      <w:r w:rsidR="00EF71C5" w:rsidRPr="00D66461">
        <w:rPr>
          <w:color w:val="auto"/>
        </w:rPr>
        <w:t xml:space="preserve"> caso contrário, será calculado a valor de cota, através de divulgado no site da Comissão de Valores Mobiliários – CVM.</w:t>
      </w:r>
    </w:p>
    <w:p w14:paraId="5F905BE8" w14:textId="77777777" w:rsidR="00C13039" w:rsidRPr="00D66461" w:rsidRDefault="00AB69A3" w:rsidP="00C0622A">
      <w:pPr>
        <w:pStyle w:val="Ttulo3"/>
        <w:rPr>
          <w:color w:val="auto"/>
        </w:rPr>
      </w:pPr>
      <w:bookmarkStart w:id="112" w:name="_Toc90997502"/>
      <w:r w:rsidRPr="00D66461">
        <w:rPr>
          <w:color w:val="auto"/>
        </w:rPr>
        <w:t>TÍTULOS PRIVADOS</w:t>
      </w:r>
      <w:bookmarkEnd w:id="112"/>
    </w:p>
    <w:p w14:paraId="4022B1C4" w14:textId="77777777" w:rsidR="00AB69A3" w:rsidRPr="00D66461" w:rsidRDefault="00AB69A3" w:rsidP="00C0622A">
      <w:pPr>
        <w:rPr>
          <w:color w:val="auto"/>
        </w:rPr>
      </w:pPr>
      <w:r w:rsidRPr="00D66461">
        <w:rPr>
          <w:color w:val="auto"/>
        </w:rPr>
        <w:t>Título privados são títulos emitidos por empresas privadas visando à captação de recursos.</w:t>
      </w:r>
    </w:p>
    <w:p w14:paraId="0E0A87EB" w14:textId="77777777" w:rsidR="001C4846" w:rsidRPr="00D66461" w:rsidRDefault="001C4846" w:rsidP="00C0622A">
      <w:pPr>
        <w:rPr>
          <w:color w:val="auto"/>
        </w:rPr>
      </w:pPr>
      <w:r w:rsidRPr="00D66461">
        <w:rPr>
          <w:color w:val="auto"/>
        </w:rPr>
        <w:t xml:space="preserve">As operações compromissadas lastreadas em títulos públicos são operações de compra (venda) com compromisso de revenda (recompra). Na partida da operação são definidas a taxa de remuneração e a data de vencimento da operação. Para as operações compromissadas sem liquidez diária, a marcação a mercado será em acordo com as taxas praticadas pelo emissor para o prazo do título e, adicionalmente, um </w:t>
      </w:r>
      <w:r w:rsidRPr="00D66461">
        <w:rPr>
          <w:i/>
          <w:color w:val="auto"/>
        </w:rPr>
        <w:t>spread</w:t>
      </w:r>
      <w:r w:rsidRPr="00D66461">
        <w:rPr>
          <w:color w:val="auto"/>
        </w:rPr>
        <w:t xml:space="preserve"> da natureza da operação. Para as operações compromissadas negociadas com liquidez diária, a marcação a mercado será realizada com base na taxa de revenda/recompra na data.</w:t>
      </w:r>
    </w:p>
    <w:p w14:paraId="450D026F" w14:textId="77777777" w:rsidR="00A13FFF" w:rsidRPr="00D66461" w:rsidRDefault="00A13FFF" w:rsidP="00C0622A">
      <w:pPr>
        <w:rPr>
          <w:color w:val="auto"/>
        </w:rPr>
      </w:pPr>
      <w:r w:rsidRPr="00D66461">
        <w:rPr>
          <w:color w:val="auto"/>
        </w:rPr>
        <w:t>Os certificados de depósito bancário (CDBs) são instrumentos de captação de recursos utilizados por instituições financeiras, os quais pagam ao aplicador, ao final do prazo contratado, a remuneração prevista, que em geral é flutuante ou pré-fixada, podendo ser emitidos e registrados na CETIP.</w:t>
      </w:r>
    </w:p>
    <w:p w14:paraId="1F2341C8" w14:textId="77777777" w:rsidR="00A13FFF" w:rsidRPr="00D66461" w:rsidRDefault="00A13FFF" w:rsidP="00C0622A">
      <w:pPr>
        <w:rPr>
          <w:color w:val="auto"/>
        </w:rPr>
      </w:pPr>
      <w:r w:rsidRPr="00D66461">
        <w:rPr>
          <w:color w:val="auto"/>
        </w:rPr>
        <w:t xml:space="preserve">Os CDBs pré-fixados são títulos negociados com ágio/deságio em relação à curva de juros em reais. A marcação do CDB é realizada descontando o seu valor futuro pela taxa pré-fixada de mercado acrescida do </w:t>
      </w:r>
      <w:r w:rsidRPr="00D66461">
        <w:rPr>
          <w:i/>
          <w:color w:val="auto"/>
        </w:rPr>
        <w:t>spread</w:t>
      </w:r>
      <w:r w:rsidRPr="00D66461">
        <w:rPr>
          <w:color w:val="auto"/>
        </w:rPr>
        <w:t xml:space="preserve"> definido de acordo com as bandas de taxas referentes ao prazo da operação e rating do emissor.</w:t>
      </w:r>
    </w:p>
    <w:p w14:paraId="269F46E3" w14:textId="1152BEB1" w:rsidR="00A13FFF" w:rsidRPr="00D66461" w:rsidRDefault="00A13FFF" w:rsidP="00C0622A">
      <w:pPr>
        <w:rPr>
          <w:color w:val="auto"/>
        </w:rPr>
      </w:pPr>
      <w:r w:rsidRPr="00D66461">
        <w:rPr>
          <w:color w:val="auto"/>
        </w:rPr>
        <w:t xml:space="preserve">Os CDBs pós-fixados são títulos atualizados diariamente pelo CDI, ou seja, pela taxa de juros baseada na taxa média dos depósitos interbancários de um dia, calculada e divulgada pela CETIP. Geralmente, o CDI é acrescido de uma taxa ou por percentual </w:t>
      </w:r>
      <w:r w:rsidRPr="00D66461">
        <w:rPr>
          <w:i/>
          <w:color w:val="auto"/>
        </w:rPr>
        <w:t>spread</w:t>
      </w:r>
      <w:r w:rsidRPr="00D66461">
        <w:rPr>
          <w:color w:val="auto"/>
        </w:rPr>
        <w:t xml:space="preserve"> contratado na data de emissão do papel. A marcação do CDB é realizada descontando o seu valor futuro projetado pela taxa pré-fixada de mercado acrescida do spread definido de acordo com as faixas de taxas em vigor.</w:t>
      </w:r>
    </w:p>
    <w:p w14:paraId="0480D32F" w14:textId="77777777" w:rsidR="0050706A" w:rsidRPr="00516AB2" w:rsidRDefault="0050706A" w:rsidP="00BB08FE">
      <w:pPr>
        <w:pStyle w:val="Ttulo2"/>
      </w:pPr>
      <w:bookmarkStart w:id="113" w:name="_Toc90997503"/>
      <w:r w:rsidRPr="00516AB2">
        <w:t>FONTES</w:t>
      </w:r>
      <w:r w:rsidR="007740D7" w:rsidRPr="00516AB2">
        <w:t xml:space="preserve"> PRIMÁRIAS DE INFORMAÇÕES</w:t>
      </w:r>
      <w:bookmarkEnd w:id="113"/>
    </w:p>
    <w:p w14:paraId="1B513ED4" w14:textId="77777777" w:rsidR="00C0622A" w:rsidRPr="00D66461" w:rsidRDefault="007740D7" w:rsidP="00C0622A">
      <w:pPr>
        <w:rPr>
          <w:color w:val="auto"/>
        </w:rPr>
      </w:pPr>
      <w:r w:rsidRPr="00D66461">
        <w:rPr>
          <w:color w:val="auto"/>
        </w:rPr>
        <w:t>Como os procedimentos de marcação a mercado são diários, como norma e sempre que possível, adotam-se preços e cotações das seguintes fontes:</w:t>
      </w:r>
    </w:p>
    <w:p w14:paraId="783BCC97" w14:textId="04B7D327" w:rsidR="00C0622A" w:rsidRPr="00D66461" w:rsidRDefault="007740D7" w:rsidP="00C0622A">
      <w:pPr>
        <w:pStyle w:val="PargrafodaLista"/>
        <w:numPr>
          <w:ilvl w:val="0"/>
          <w:numId w:val="41"/>
        </w:numPr>
        <w:rPr>
          <w:color w:val="auto"/>
        </w:rPr>
      </w:pPr>
      <w:r w:rsidRPr="00D66461">
        <w:rPr>
          <w:color w:val="auto"/>
        </w:rPr>
        <w:lastRenderedPageBreak/>
        <w:t>Títulos Públicos Federais e debentures: Taxas Indicativas da ANBIMA</w:t>
      </w:r>
      <w:r w:rsidR="00DE6AEC" w:rsidRPr="00D66461">
        <w:rPr>
          <w:color w:val="auto"/>
        </w:rPr>
        <w:t xml:space="preserve"> – Associação Brasileira das Entidades dos Mercados Financeiros e de Capitais</w:t>
      </w:r>
      <w:r w:rsidR="009A7648" w:rsidRPr="00D66461">
        <w:rPr>
          <w:color w:val="auto"/>
        </w:rPr>
        <w:t xml:space="preserve"> (</w:t>
      </w:r>
      <w:r w:rsidR="00C0622A" w:rsidRPr="00D66461">
        <w:rPr>
          <w:color w:val="auto"/>
        </w:rPr>
        <w:t>https://www.anbima.com.br/pt_br/informar/taxas-de-titulos-publicos.htm</w:t>
      </w:r>
      <w:r w:rsidR="009A7648" w:rsidRPr="00D66461">
        <w:rPr>
          <w:color w:val="auto"/>
        </w:rPr>
        <w:t>);</w:t>
      </w:r>
    </w:p>
    <w:p w14:paraId="704235CD" w14:textId="77777777" w:rsidR="00C0622A" w:rsidRPr="00D66461" w:rsidRDefault="00C0622A" w:rsidP="00C0622A">
      <w:pPr>
        <w:pStyle w:val="PargrafodaLista"/>
        <w:rPr>
          <w:color w:val="auto"/>
        </w:rPr>
      </w:pPr>
    </w:p>
    <w:p w14:paraId="22F8A4F0" w14:textId="4CCC7E20" w:rsidR="00C0622A" w:rsidRPr="00D66461" w:rsidRDefault="007740D7" w:rsidP="00C0622A">
      <w:pPr>
        <w:pStyle w:val="PargrafodaLista"/>
        <w:numPr>
          <w:ilvl w:val="0"/>
          <w:numId w:val="41"/>
        </w:numPr>
        <w:rPr>
          <w:color w:val="auto"/>
        </w:rPr>
      </w:pPr>
      <w:r w:rsidRPr="00D66461">
        <w:rPr>
          <w:color w:val="auto"/>
        </w:rPr>
        <w:t>C</w:t>
      </w:r>
      <w:r w:rsidR="00DE6AEC" w:rsidRPr="00D66461">
        <w:rPr>
          <w:color w:val="auto"/>
        </w:rPr>
        <w:t>otas de fundos de investimentos: Comissão de Valores Mobiliários – CVM</w:t>
      </w:r>
      <w:r w:rsidR="009A7648" w:rsidRPr="00D66461">
        <w:rPr>
          <w:color w:val="auto"/>
        </w:rPr>
        <w:t xml:space="preserve"> (</w:t>
      </w:r>
      <w:r w:rsidR="00C0622A" w:rsidRPr="00D66461">
        <w:rPr>
          <w:color w:val="auto"/>
        </w:rPr>
        <w:t>http://www.cvm.gov.br/menu/regulados/fundos/consultas/fundos.html</w:t>
      </w:r>
      <w:r w:rsidR="00D11EC2" w:rsidRPr="00D66461">
        <w:rPr>
          <w:color w:val="auto"/>
        </w:rPr>
        <w:t>);</w:t>
      </w:r>
    </w:p>
    <w:p w14:paraId="44C7333F" w14:textId="77777777" w:rsidR="00C0622A" w:rsidRPr="00D66461" w:rsidRDefault="00C0622A" w:rsidP="00C0622A">
      <w:pPr>
        <w:pStyle w:val="PargrafodaLista"/>
        <w:rPr>
          <w:color w:val="auto"/>
        </w:rPr>
      </w:pPr>
    </w:p>
    <w:p w14:paraId="29653F5F" w14:textId="3FB427AB" w:rsidR="00C0622A" w:rsidRPr="00D66461" w:rsidRDefault="00C95BFC" w:rsidP="00C0622A">
      <w:pPr>
        <w:pStyle w:val="PargrafodaLista"/>
        <w:numPr>
          <w:ilvl w:val="0"/>
          <w:numId w:val="41"/>
        </w:numPr>
        <w:rPr>
          <w:color w:val="auto"/>
        </w:rPr>
      </w:pPr>
      <w:r w:rsidRPr="00D66461">
        <w:rPr>
          <w:color w:val="auto"/>
        </w:rPr>
        <w:t xml:space="preserve">Valor Nominal Atualizado: </w:t>
      </w:r>
      <w:r w:rsidR="00927762" w:rsidRPr="00D66461">
        <w:rPr>
          <w:color w:val="auto"/>
        </w:rPr>
        <w:t>Valor Nominal Atualizado ANBIMA - Associação Brasileira das Entidades dos Mercados Financeiros e de Capitais (</w:t>
      </w:r>
      <w:r w:rsidR="00C0622A" w:rsidRPr="00D66461">
        <w:rPr>
          <w:color w:val="auto"/>
        </w:rPr>
        <w:t>https://www.anbima.com.br/pt_br/informar/valor-nominal-atualizado.htm</w:t>
      </w:r>
      <w:r w:rsidR="00927762" w:rsidRPr="00D66461">
        <w:rPr>
          <w:color w:val="auto"/>
        </w:rPr>
        <w:t>)</w:t>
      </w:r>
      <w:r w:rsidR="00D11EC2" w:rsidRPr="00D66461">
        <w:rPr>
          <w:color w:val="auto"/>
        </w:rPr>
        <w:t>;</w:t>
      </w:r>
    </w:p>
    <w:p w14:paraId="681F20F6" w14:textId="77777777" w:rsidR="00C0622A" w:rsidRPr="00D66461" w:rsidRDefault="00C0622A" w:rsidP="00C0622A">
      <w:pPr>
        <w:pStyle w:val="PargrafodaLista"/>
        <w:rPr>
          <w:color w:val="auto"/>
        </w:rPr>
      </w:pPr>
    </w:p>
    <w:p w14:paraId="5DA74D40" w14:textId="77777777" w:rsidR="00C0622A" w:rsidRPr="00D66461" w:rsidRDefault="007740D7" w:rsidP="00C0622A">
      <w:pPr>
        <w:pStyle w:val="PargrafodaLista"/>
        <w:numPr>
          <w:ilvl w:val="0"/>
          <w:numId w:val="41"/>
        </w:numPr>
        <w:rPr>
          <w:color w:val="auto"/>
        </w:rPr>
      </w:pPr>
      <w:r w:rsidRPr="00D66461">
        <w:rPr>
          <w:color w:val="auto"/>
        </w:rPr>
        <w:t>Ações, opções sobre ações líquidas e termo de ações: BM&amp;FBOVESPA</w:t>
      </w:r>
      <w:r w:rsidR="009A7648" w:rsidRPr="00D66461">
        <w:rPr>
          <w:color w:val="auto"/>
        </w:rPr>
        <w:t xml:space="preserve"> (</w:t>
      </w:r>
      <w:r w:rsidR="00132C38" w:rsidRPr="00D66461">
        <w:rPr>
          <w:color w:val="auto"/>
        </w:rPr>
        <w:t>http://www.bmfbovespa.com.br/pt_br/)</w:t>
      </w:r>
      <w:r w:rsidR="00DE6AEC" w:rsidRPr="00D66461">
        <w:rPr>
          <w:color w:val="auto"/>
        </w:rPr>
        <w:t>; e</w:t>
      </w:r>
    </w:p>
    <w:p w14:paraId="764B800A" w14:textId="77777777" w:rsidR="00C0622A" w:rsidRPr="00D66461" w:rsidRDefault="00C0622A" w:rsidP="00C0622A">
      <w:pPr>
        <w:pStyle w:val="PargrafodaLista"/>
        <w:rPr>
          <w:color w:val="auto"/>
        </w:rPr>
      </w:pPr>
    </w:p>
    <w:p w14:paraId="3EE988F6" w14:textId="45976FC2" w:rsidR="00DE6AEC" w:rsidRPr="00D66461" w:rsidRDefault="00DE6AEC" w:rsidP="00C0622A">
      <w:pPr>
        <w:pStyle w:val="PargrafodaLista"/>
        <w:numPr>
          <w:ilvl w:val="0"/>
          <w:numId w:val="41"/>
        </w:numPr>
        <w:rPr>
          <w:color w:val="auto"/>
        </w:rPr>
      </w:pPr>
      <w:r w:rsidRPr="00D66461">
        <w:rPr>
          <w:color w:val="auto"/>
        </w:rPr>
        <w:t>Certificado de Depósito Bancário – CDB: CETIP</w:t>
      </w:r>
      <w:r w:rsidR="00C95BFC" w:rsidRPr="00D66461">
        <w:rPr>
          <w:color w:val="auto"/>
        </w:rPr>
        <w:t xml:space="preserve"> (</w:t>
      </w:r>
      <w:r w:rsidR="00E61597" w:rsidRPr="00D66461">
        <w:rPr>
          <w:color w:val="auto"/>
        </w:rPr>
        <w:t>http://www.b3.com.br/pt_br/</w:t>
      </w:r>
      <w:r w:rsidR="00C95BFC" w:rsidRPr="00D66461">
        <w:rPr>
          <w:color w:val="auto"/>
        </w:rPr>
        <w:t>).</w:t>
      </w:r>
    </w:p>
    <w:p w14:paraId="30ACA725" w14:textId="07C322D9" w:rsidR="008672F9" w:rsidRPr="00D66461" w:rsidRDefault="008672F9" w:rsidP="00C0622A">
      <w:pPr>
        <w:pStyle w:val="Ttulo1"/>
        <w:spacing w:before="360"/>
        <w:rPr>
          <w:color w:val="auto"/>
        </w:rPr>
      </w:pPr>
      <w:bookmarkStart w:id="114" w:name="_Toc90997504"/>
      <w:r w:rsidRPr="00D66461">
        <w:rPr>
          <w:color w:val="auto"/>
        </w:rPr>
        <w:t xml:space="preserve">POLÍTICA DE </w:t>
      </w:r>
      <w:r w:rsidR="00570830" w:rsidRPr="00D66461">
        <w:rPr>
          <w:color w:val="auto"/>
        </w:rPr>
        <w:t xml:space="preserve">ACOMPANHAMENTO </w:t>
      </w:r>
      <w:r w:rsidRPr="00D66461">
        <w:rPr>
          <w:color w:val="auto"/>
        </w:rPr>
        <w:t>E AVALIAÇÃO</w:t>
      </w:r>
      <w:bookmarkEnd w:id="114"/>
    </w:p>
    <w:p w14:paraId="2CA89E42" w14:textId="3C654683" w:rsidR="00D07404" w:rsidRPr="00D66461" w:rsidRDefault="008672F9" w:rsidP="00C0622A">
      <w:pPr>
        <w:rPr>
          <w:color w:val="auto"/>
        </w:rPr>
      </w:pPr>
      <w:r w:rsidRPr="00D66461">
        <w:rPr>
          <w:color w:val="auto"/>
        </w:rPr>
        <w:t xml:space="preserve">Para o acompanhamento e avaliação </w:t>
      </w:r>
      <w:r w:rsidR="009F04A9" w:rsidRPr="00D66461">
        <w:rPr>
          <w:color w:val="auto"/>
        </w:rPr>
        <w:t xml:space="preserve">dos resultados </w:t>
      </w:r>
      <w:r w:rsidRPr="00D66461">
        <w:rPr>
          <w:color w:val="auto"/>
        </w:rPr>
        <w:t>d</w:t>
      </w:r>
      <w:r w:rsidR="00DD14C8" w:rsidRPr="00D66461">
        <w:rPr>
          <w:color w:val="auto"/>
        </w:rPr>
        <w:t xml:space="preserve">a carteira de investimento </w:t>
      </w:r>
      <w:r w:rsidR="00B75343" w:rsidRPr="00D66461">
        <w:rPr>
          <w:color w:val="auto"/>
        </w:rPr>
        <w:t xml:space="preserve">e </w:t>
      </w:r>
      <w:r w:rsidR="009F04A9" w:rsidRPr="00D66461">
        <w:rPr>
          <w:color w:val="auto"/>
        </w:rPr>
        <w:t xml:space="preserve">de seus respectivos </w:t>
      </w:r>
      <w:r w:rsidRPr="00D66461">
        <w:rPr>
          <w:color w:val="auto"/>
        </w:rPr>
        <w:t>fundos de investimentos</w:t>
      </w:r>
      <w:r w:rsidR="00DD14C8" w:rsidRPr="00D66461">
        <w:rPr>
          <w:color w:val="auto"/>
        </w:rPr>
        <w:t xml:space="preserve">, </w:t>
      </w:r>
      <w:r w:rsidRPr="00D66461">
        <w:rPr>
          <w:color w:val="auto"/>
        </w:rPr>
        <w:t>serão adotados metodologias e critérios que atendam conjuntamente as normativas expedidas pelos órg</w:t>
      </w:r>
      <w:r w:rsidR="00D07404" w:rsidRPr="00D66461">
        <w:rPr>
          <w:color w:val="auto"/>
        </w:rPr>
        <w:t xml:space="preserve">ãos </w:t>
      </w:r>
      <w:r w:rsidR="00891C7F" w:rsidRPr="00D66461">
        <w:rPr>
          <w:color w:val="auto"/>
        </w:rPr>
        <w:t>fiscalizadores e reguladores</w:t>
      </w:r>
      <w:r w:rsidR="00D07404" w:rsidRPr="00D66461">
        <w:rPr>
          <w:color w:val="auto"/>
        </w:rPr>
        <w:t>.</w:t>
      </w:r>
    </w:p>
    <w:p w14:paraId="0F1F096C" w14:textId="495736B3" w:rsidR="00DD14C8" w:rsidRPr="00D66461" w:rsidRDefault="00D07404" w:rsidP="00C0622A">
      <w:pPr>
        <w:rPr>
          <w:color w:val="auto"/>
        </w:rPr>
      </w:pPr>
      <w:r w:rsidRPr="00D66461">
        <w:rPr>
          <w:color w:val="auto"/>
        </w:rPr>
        <w:t>Como forma de acompanhamento, ser</w:t>
      </w:r>
      <w:r w:rsidR="00F95781" w:rsidRPr="00D66461">
        <w:rPr>
          <w:color w:val="auto"/>
        </w:rPr>
        <w:t>á</w:t>
      </w:r>
      <w:r w:rsidRPr="00D66461">
        <w:rPr>
          <w:color w:val="auto"/>
        </w:rPr>
        <w:t xml:space="preserve"> </w:t>
      </w:r>
      <w:r w:rsidR="000051A8" w:rsidRPr="00D66461">
        <w:rPr>
          <w:color w:val="auto"/>
        </w:rPr>
        <w:t>obrigatório</w:t>
      </w:r>
      <w:r w:rsidRPr="00D66461">
        <w:rPr>
          <w:color w:val="auto"/>
        </w:rPr>
        <w:t xml:space="preserve"> a elaboração de relatórios mensais, que contemple no mínimo informações sobre a rentabilidade e riscos das diversas modalidades de operações realizadas </w:t>
      </w:r>
      <w:r w:rsidR="000051A8" w:rsidRPr="00D66461">
        <w:rPr>
          <w:color w:val="auto"/>
        </w:rPr>
        <w:t>quanto as</w:t>
      </w:r>
      <w:r w:rsidRPr="00D66461">
        <w:rPr>
          <w:color w:val="auto"/>
        </w:rPr>
        <w:t xml:space="preserve"> aplicaç</w:t>
      </w:r>
      <w:r w:rsidR="007C6218" w:rsidRPr="00D66461">
        <w:rPr>
          <w:color w:val="auto"/>
        </w:rPr>
        <w:t>ões</w:t>
      </w:r>
      <w:r w:rsidRPr="00D66461">
        <w:rPr>
          <w:color w:val="auto"/>
        </w:rPr>
        <w:t xml:space="preserve"> dos recursos do</w:t>
      </w:r>
      <w:r w:rsidR="007355B5" w:rsidRPr="00D66461">
        <w:rPr>
          <w:color w:val="auto"/>
        </w:rPr>
        <w:t xml:space="preserve"> </w:t>
      </w:r>
      <w:r w:rsidR="00D66461" w:rsidRPr="00D66461">
        <w:rPr>
          <w:bCs/>
          <w:color w:val="auto"/>
          <w:szCs w:val="20"/>
        </w:rPr>
        <w:t>Instituto de Previdência dos Servidores Públicos do Município de Pitangueiras - PITANPREV</w:t>
      </w:r>
      <w:r w:rsidR="000051A8" w:rsidRPr="00D66461">
        <w:rPr>
          <w:color w:val="auto"/>
        </w:rPr>
        <w:t xml:space="preserve">, bem como a </w:t>
      </w:r>
      <w:r w:rsidRPr="00D66461">
        <w:rPr>
          <w:color w:val="auto"/>
        </w:rPr>
        <w:t xml:space="preserve">aderência das alocações e </w:t>
      </w:r>
      <w:r w:rsidR="008B150C" w:rsidRPr="00D66461">
        <w:rPr>
          <w:color w:val="auto"/>
        </w:rPr>
        <w:t xml:space="preserve">dos </w:t>
      </w:r>
      <w:r w:rsidRPr="00D66461">
        <w:rPr>
          <w:color w:val="auto"/>
        </w:rPr>
        <w:t xml:space="preserve">processos decisórios </w:t>
      </w:r>
      <w:r w:rsidR="008B150C" w:rsidRPr="00D66461">
        <w:rPr>
          <w:color w:val="auto"/>
        </w:rPr>
        <w:t>relacionados</w:t>
      </w:r>
      <w:r w:rsidR="00DD14C8" w:rsidRPr="00D66461">
        <w:rPr>
          <w:color w:val="auto"/>
        </w:rPr>
        <w:t>.</w:t>
      </w:r>
    </w:p>
    <w:p w14:paraId="7E52A54E" w14:textId="1E995B0F" w:rsidR="00332EC8" w:rsidRPr="00D66461" w:rsidRDefault="007C6218" w:rsidP="00C0622A">
      <w:pPr>
        <w:rPr>
          <w:color w:val="auto"/>
        </w:rPr>
      </w:pPr>
      <w:r w:rsidRPr="00D66461">
        <w:rPr>
          <w:color w:val="auto"/>
        </w:rPr>
        <w:t>O referido relatório mensal deverá ser acompanhado d</w:t>
      </w:r>
      <w:r w:rsidR="008655B6" w:rsidRPr="00D66461">
        <w:rPr>
          <w:color w:val="auto"/>
        </w:rPr>
        <w:t>e</w:t>
      </w:r>
      <w:r w:rsidRPr="00D66461">
        <w:rPr>
          <w:color w:val="auto"/>
        </w:rPr>
        <w:t xml:space="preserve"> parecer do Comitê de Investimentos</w:t>
      </w:r>
      <w:r w:rsidR="00734A25" w:rsidRPr="00D66461">
        <w:rPr>
          <w:color w:val="auto"/>
        </w:rPr>
        <w:t xml:space="preserve">, </w:t>
      </w:r>
      <w:r w:rsidR="00AA122B" w:rsidRPr="00D66461">
        <w:rPr>
          <w:color w:val="auto"/>
        </w:rPr>
        <w:t>que</w:t>
      </w:r>
      <w:r w:rsidR="00734A25" w:rsidRPr="00D66461">
        <w:rPr>
          <w:color w:val="auto"/>
        </w:rPr>
        <w:t xml:space="preserve"> deverá apresentar a análise dos resultados obtidos no mês de referência</w:t>
      </w:r>
      <w:r w:rsidR="00AA122B" w:rsidRPr="00D66461">
        <w:rPr>
          <w:color w:val="auto"/>
        </w:rPr>
        <w:t>, inclusive</w:t>
      </w:r>
      <w:r w:rsidR="00734A25" w:rsidRPr="00D66461">
        <w:rPr>
          <w:color w:val="auto"/>
        </w:rPr>
        <w:t xml:space="preserve"> suas considerações e deliberações.</w:t>
      </w:r>
    </w:p>
    <w:p w14:paraId="2F393E11" w14:textId="34EC73CB" w:rsidR="00D07404" w:rsidRPr="00D66461" w:rsidRDefault="00332EC8" w:rsidP="00C0622A">
      <w:pPr>
        <w:rPr>
          <w:color w:val="auto"/>
        </w:rPr>
      </w:pPr>
      <w:r w:rsidRPr="00D66461">
        <w:rPr>
          <w:color w:val="auto"/>
        </w:rPr>
        <w:t xml:space="preserve">O Comitê de Investimentos deverá </w:t>
      </w:r>
      <w:r w:rsidR="00D07404" w:rsidRPr="00D66461">
        <w:rPr>
          <w:color w:val="auto"/>
        </w:rPr>
        <w:t>apresentar no mínimo o plano de ação com o cronograma das atividades a serem desempenhadas relativas à gestão dos recursos.</w:t>
      </w:r>
    </w:p>
    <w:p w14:paraId="06D96E70" w14:textId="77777777" w:rsidR="003C1058" w:rsidRPr="00D66461" w:rsidRDefault="00524372" w:rsidP="00C0622A">
      <w:pPr>
        <w:rPr>
          <w:color w:val="auto"/>
        </w:rPr>
      </w:pPr>
      <w:r w:rsidRPr="00D66461">
        <w:rPr>
          <w:color w:val="auto"/>
        </w:rPr>
        <w:t>Deverão</w:t>
      </w:r>
      <w:r w:rsidR="00E3009F" w:rsidRPr="00D66461">
        <w:rPr>
          <w:color w:val="auto"/>
        </w:rPr>
        <w:t xml:space="preserve"> fazer parte dos documentos do processo de acompanhamento e avaliação:</w:t>
      </w:r>
    </w:p>
    <w:p w14:paraId="3E560168" w14:textId="77777777" w:rsidR="00C0622A" w:rsidRPr="00D66461" w:rsidRDefault="003C1058" w:rsidP="00C0622A">
      <w:pPr>
        <w:pStyle w:val="PargrafodaLista"/>
        <w:numPr>
          <w:ilvl w:val="0"/>
          <w:numId w:val="42"/>
        </w:numPr>
        <w:rPr>
          <w:color w:val="auto"/>
        </w:rPr>
      </w:pPr>
      <w:r w:rsidRPr="00D66461">
        <w:rPr>
          <w:color w:val="auto"/>
        </w:rPr>
        <w:t>Editorial sobre o panorama econômico relativo à semana e mês anterior;</w:t>
      </w:r>
    </w:p>
    <w:p w14:paraId="58C72902" w14:textId="77777777" w:rsidR="00C0622A" w:rsidRPr="00D66461" w:rsidRDefault="00C0622A" w:rsidP="00C0622A">
      <w:pPr>
        <w:pStyle w:val="PargrafodaLista"/>
        <w:rPr>
          <w:color w:val="auto"/>
        </w:rPr>
      </w:pPr>
    </w:p>
    <w:p w14:paraId="29A33098" w14:textId="77777777" w:rsidR="00C0622A" w:rsidRPr="00D66461" w:rsidRDefault="006E0996" w:rsidP="00C0622A">
      <w:pPr>
        <w:pStyle w:val="PargrafodaLista"/>
        <w:numPr>
          <w:ilvl w:val="0"/>
          <w:numId w:val="42"/>
        </w:numPr>
        <w:rPr>
          <w:color w:val="auto"/>
        </w:rPr>
      </w:pPr>
      <w:r w:rsidRPr="00D66461">
        <w:rPr>
          <w:color w:val="auto"/>
        </w:rPr>
        <w:t>Relatório Mensal que contém: análise qualitativa da situação da carteira em relação à composição, rentabilidade, enquadramentos, aderência à Política de Investimentos, riscos; análise quantitativa baseada em dados históricos e ilustrada por comparativos gráficos; cumprindo a exigência da Portaria MPS 519, de 24 de agosto de 2011, Artigo 3º Incisos V;</w:t>
      </w:r>
    </w:p>
    <w:p w14:paraId="748C0644" w14:textId="77777777" w:rsidR="00C0622A" w:rsidRPr="00D66461" w:rsidRDefault="00C0622A" w:rsidP="00C0622A">
      <w:pPr>
        <w:pStyle w:val="PargrafodaLista"/>
        <w:rPr>
          <w:color w:val="auto"/>
        </w:rPr>
      </w:pPr>
    </w:p>
    <w:p w14:paraId="60D4F085" w14:textId="77777777" w:rsidR="00C0622A" w:rsidRPr="00D66461" w:rsidRDefault="00F725C2" w:rsidP="00C0622A">
      <w:pPr>
        <w:pStyle w:val="PargrafodaLista"/>
        <w:numPr>
          <w:ilvl w:val="0"/>
          <w:numId w:val="42"/>
        </w:numPr>
        <w:rPr>
          <w:color w:val="auto"/>
        </w:rPr>
      </w:pPr>
      <w:r w:rsidRPr="00D66461">
        <w:rPr>
          <w:color w:val="auto"/>
        </w:rPr>
        <w:t xml:space="preserve">Relatório Trimestral que contém: análise sobre a rentabilidade e risco das diversas modalidades de operações realizadas pelo RPPS, com títulos, valores mobiliários e demais ativos alocados nos segmentos de renda fixa, renda variável, investimentos estruturados e investimentos no </w:t>
      </w:r>
      <w:r w:rsidRPr="00D66461">
        <w:rPr>
          <w:color w:val="auto"/>
        </w:rPr>
        <w:lastRenderedPageBreak/>
        <w:t>exterior, cumprindo a exigência da Portaria MPS 519, de 24 de agosto de 2011, Artigo 3º Incisos V;</w:t>
      </w:r>
    </w:p>
    <w:p w14:paraId="641BFC0D" w14:textId="77777777" w:rsidR="00C0622A" w:rsidRPr="00D66461" w:rsidRDefault="00C0622A" w:rsidP="00C0622A">
      <w:pPr>
        <w:pStyle w:val="PargrafodaLista"/>
        <w:rPr>
          <w:color w:val="auto"/>
        </w:rPr>
      </w:pPr>
    </w:p>
    <w:p w14:paraId="12CBA398" w14:textId="77777777" w:rsidR="00C0622A" w:rsidRPr="00D66461" w:rsidRDefault="00B25706" w:rsidP="00C0622A">
      <w:pPr>
        <w:pStyle w:val="PargrafodaLista"/>
        <w:numPr>
          <w:ilvl w:val="0"/>
          <w:numId w:val="42"/>
        </w:numPr>
        <w:rPr>
          <w:color w:val="auto"/>
        </w:rPr>
      </w:pPr>
      <w:r w:rsidRPr="00D66461">
        <w:rPr>
          <w:color w:val="auto"/>
        </w:rPr>
        <w:t>Relatório de Análise de Fundos de Investimentos classificados a ICVM 555/2014 que contém: análise de regulamento, enquadramento, prospecto (quando houver) e parecer opinativo;</w:t>
      </w:r>
    </w:p>
    <w:p w14:paraId="294FCBB3" w14:textId="77777777" w:rsidR="00C0622A" w:rsidRPr="00D66461" w:rsidRDefault="00C0622A" w:rsidP="00C0622A">
      <w:pPr>
        <w:pStyle w:val="PargrafodaLista"/>
        <w:rPr>
          <w:color w:val="auto"/>
        </w:rPr>
      </w:pPr>
    </w:p>
    <w:p w14:paraId="36C4E250" w14:textId="77777777" w:rsidR="00C0622A" w:rsidRPr="00D66461" w:rsidRDefault="0064646F" w:rsidP="00C0622A">
      <w:pPr>
        <w:pStyle w:val="PargrafodaLista"/>
        <w:numPr>
          <w:ilvl w:val="0"/>
          <w:numId w:val="42"/>
        </w:numPr>
        <w:rPr>
          <w:color w:val="auto"/>
        </w:rPr>
      </w:pPr>
      <w:r w:rsidRPr="00D66461">
        <w:rPr>
          <w:color w:val="auto"/>
        </w:rPr>
        <w:t>Relatório de Análise de Fundos de Investimentos classificados como “Estruturados” que contém: análise de regulamento, enquadramento, prospecto (quando houver) e parecer opinativo</w:t>
      </w:r>
      <w:r w:rsidR="003618CE" w:rsidRPr="00D66461">
        <w:rPr>
          <w:color w:val="auto"/>
        </w:rPr>
        <w:t xml:space="preserve"> e</w:t>
      </w:r>
    </w:p>
    <w:p w14:paraId="3A2AF519" w14:textId="77777777" w:rsidR="00C0622A" w:rsidRPr="00D66461" w:rsidRDefault="00C0622A" w:rsidP="00C0622A">
      <w:pPr>
        <w:pStyle w:val="PargrafodaLista"/>
        <w:rPr>
          <w:color w:val="auto"/>
        </w:rPr>
      </w:pPr>
    </w:p>
    <w:p w14:paraId="42063D91" w14:textId="777DF8F6" w:rsidR="0064646F" w:rsidRPr="00D66461" w:rsidRDefault="001C12E3" w:rsidP="00C0622A">
      <w:pPr>
        <w:pStyle w:val="PargrafodaLista"/>
        <w:numPr>
          <w:ilvl w:val="0"/>
          <w:numId w:val="42"/>
        </w:numPr>
        <w:rPr>
          <w:color w:val="auto"/>
        </w:rPr>
      </w:pPr>
      <w:r w:rsidRPr="00D66461">
        <w:rPr>
          <w:color w:val="auto"/>
        </w:rPr>
        <w:t xml:space="preserve">Relatório de Análise da Carteira de Investimentos </w:t>
      </w:r>
      <w:r w:rsidR="008C4BD0" w:rsidRPr="00D66461">
        <w:rPr>
          <w:color w:val="auto"/>
        </w:rPr>
        <w:t xml:space="preserve">com parecer opinativo sobre </w:t>
      </w:r>
      <w:r w:rsidR="003618CE" w:rsidRPr="00D66461">
        <w:rPr>
          <w:color w:val="auto"/>
        </w:rPr>
        <w:t>estratégia tática.</w:t>
      </w:r>
    </w:p>
    <w:p w14:paraId="4E9717D3" w14:textId="717FA669" w:rsidR="00FA2C71" w:rsidRPr="00D66461" w:rsidRDefault="00FA2C71" w:rsidP="00C0622A">
      <w:pPr>
        <w:pStyle w:val="Ttulo1"/>
        <w:spacing w:before="360"/>
        <w:rPr>
          <w:color w:val="auto"/>
        </w:rPr>
      </w:pPr>
      <w:bookmarkStart w:id="115" w:name="_Toc90997505"/>
      <w:r w:rsidRPr="00D66461">
        <w:rPr>
          <w:color w:val="auto"/>
        </w:rPr>
        <w:t>PLANO DE CONTINGÊNCIA</w:t>
      </w:r>
      <w:bookmarkEnd w:id="115"/>
    </w:p>
    <w:p w14:paraId="7170F023" w14:textId="2F3CAC21" w:rsidR="00DF0B23" w:rsidRPr="00D66461" w:rsidRDefault="00DF0B23" w:rsidP="00C0622A">
      <w:pPr>
        <w:rPr>
          <w:color w:val="auto"/>
        </w:rPr>
      </w:pPr>
      <w:r w:rsidRPr="00D66461">
        <w:rPr>
          <w:color w:val="auto"/>
        </w:rPr>
        <w:t>O Plano de Contingência estabelecido, contempla</w:t>
      </w:r>
      <w:r w:rsidR="00242905" w:rsidRPr="00D66461">
        <w:rPr>
          <w:color w:val="auto"/>
        </w:rPr>
        <w:t xml:space="preserve"> a abrangência exigida pela Resolução CMN n° </w:t>
      </w:r>
      <w:r w:rsidR="003618CE" w:rsidRPr="00D66461">
        <w:rPr>
          <w:color w:val="auto"/>
        </w:rPr>
        <w:t>4.963/2021</w:t>
      </w:r>
      <w:r w:rsidR="00242905" w:rsidRPr="00D66461">
        <w:rPr>
          <w:color w:val="auto"/>
        </w:rPr>
        <w:t xml:space="preserve">, em seu Art. 4°, inciso VIII, ou seja, entende-se por “contingência” no âmbito desta Política de Investimentos a </w:t>
      </w:r>
      <w:r w:rsidR="00242905" w:rsidRPr="00D66461">
        <w:rPr>
          <w:b/>
          <w:color w:val="auto"/>
        </w:rPr>
        <w:t xml:space="preserve">excessiva exposição a riscos </w:t>
      </w:r>
      <w:r w:rsidR="005D016A" w:rsidRPr="00D66461">
        <w:rPr>
          <w:b/>
          <w:color w:val="auto"/>
        </w:rPr>
        <w:t>e</w:t>
      </w:r>
      <w:r w:rsidR="00242905" w:rsidRPr="00D66461">
        <w:rPr>
          <w:b/>
          <w:color w:val="auto"/>
        </w:rPr>
        <w:t xml:space="preserve"> potenciais perdas dos recursos</w:t>
      </w:r>
      <w:r w:rsidR="00242905" w:rsidRPr="00D66461">
        <w:rPr>
          <w:color w:val="auto"/>
        </w:rPr>
        <w:t>.</w:t>
      </w:r>
    </w:p>
    <w:p w14:paraId="6264FCF5" w14:textId="08C38666" w:rsidR="00242905" w:rsidRPr="00D66461" w:rsidRDefault="0005223A" w:rsidP="00C0622A">
      <w:pPr>
        <w:rPr>
          <w:color w:val="auto"/>
        </w:rPr>
      </w:pPr>
      <w:r w:rsidRPr="00D66461">
        <w:rPr>
          <w:color w:val="auto"/>
        </w:rPr>
        <w:t>Com a identificação clara das contingências</w:t>
      </w:r>
      <w:r w:rsidR="00A264E5" w:rsidRPr="00D66461">
        <w:rPr>
          <w:color w:val="auto"/>
        </w:rPr>
        <w:t xml:space="preserve">, </w:t>
      </w:r>
      <w:r w:rsidRPr="00D66461">
        <w:rPr>
          <w:color w:val="auto"/>
        </w:rPr>
        <w:t>chegamos ao desenvolvimento do plano no processo d</w:t>
      </w:r>
      <w:r w:rsidR="00DF0B23" w:rsidRPr="00D66461">
        <w:rPr>
          <w:color w:val="auto"/>
        </w:rPr>
        <w:t>os</w:t>
      </w:r>
      <w:r w:rsidRPr="00D66461">
        <w:rPr>
          <w:color w:val="auto"/>
        </w:rPr>
        <w:t xml:space="preserve"> investimentos, que abrange não somente a Diretoria Executiva</w:t>
      </w:r>
      <w:r w:rsidR="00927C51" w:rsidRPr="00D66461">
        <w:rPr>
          <w:color w:val="auto"/>
        </w:rPr>
        <w:t xml:space="preserve"> e Gestor dos Recursos</w:t>
      </w:r>
      <w:r w:rsidRPr="00D66461">
        <w:rPr>
          <w:color w:val="auto"/>
        </w:rPr>
        <w:t xml:space="preserve">, como </w:t>
      </w:r>
      <w:r w:rsidR="00927C51" w:rsidRPr="00D66461">
        <w:rPr>
          <w:color w:val="auto"/>
        </w:rPr>
        <w:t xml:space="preserve">também </w:t>
      </w:r>
      <w:r w:rsidRPr="00D66461">
        <w:rPr>
          <w:color w:val="auto"/>
        </w:rPr>
        <w:t>o Comitê de Investimentos e o Conselho Deliberativo.</w:t>
      </w:r>
    </w:p>
    <w:p w14:paraId="5398BDF6" w14:textId="6DF236CD" w:rsidR="0005223A" w:rsidRDefault="0005223A" w:rsidP="00BB08FE">
      <w:pPr>
        <w:pStyle w:val="Ttulo2"/>
      </w:pPr>
      <w:bookmarkStart w:id="116" w:name="_Toc90997506"/>
      <w:r>
        <w:t>EXPOSIÇÃO A RISCO</w:t>
      </w:r>
      <w:bookmarkEnd w:id="116"/>
    </w:p>
    <w:p w14:paraId="33351AF7" w14:textId="51916E5A" w:rsidR="0021686F" w:rsidRPr="00D66461" w:rsidRDefault="008E4EE1" w:rsidP="00C0622A">
      <w:pPr>
        <w:rPr>
          <w:color w:val="auto"/>
        </w:rPr>
      </w:pPr>
      <w:r w:rsidRPr="00D66461">
        <w:rPr>
          <w:color w:val="auto"/>
        </w:rPr>
        <w:t xml:space="preserve">Entende-se como </w:t>
      </w:r>
      <w:r w:rsidR="00DF0B23" w:rsidRPr="00D66461">
        <w:rPr>
          <w:color w:val="auto"/>
        </w:rPr>
        <w:t>Exposição a Risco</w:t>
      </w:r>
      <w:r w:rsidRPr="00D66461">
        <w:rPr>
          <w:color w:val="auto"/>
        </w:rPr>
        <w:t xml:space="preserve"> os investimentos que direcionam a carteira de investimentos do </w:t>
      </w:r>
      <w:r w:rsidR="00D66461" w:rsidRPr="00D66461">
        <w:rPr>
          <w:bCs/>
          <w:color w:val="auto"/>
          <w:szCs w:val="20"/>
        </w:rPr>
        <w:t>Instituto de Previdência dos Servidores Públicos do Município de Pitangueiras - PITANPREV</w:t>
      </w:r>
      <w:r w:rsidRPr="00D66461">
        <w:rPr>
          <w:color w:val="auto"/>
        </w:rPr>
        <w:t xml:space="preserve"> para o não cumprimento dos limites, requisitos e normas estabelecidos aos R</w:t>
      </w:r>
      <w:r w:rsidR="0053304F" w:rsidRPr="00D66461">
        <w:rPr>
          <w:color w:val="auto"/>
        </w:rPr>
        <w:t>egimes Próprios de Previdência Social</w:t>
      </w:r>
      <w:r w:rsidRPr="00D66461">
        <w:rPr>
          <w:color w:val="auto"/>
        </w:rPr>
        <w:t>.</w:t>
      </w:r>
    </w:p>
    <w:p w14:paraId="13EB3B71" w14:textId="0FF37715" w:rsidR="008E4EE1" w:rsidRPr="00D66461" w:rsidRDefault="008E4EE1" w:rsidP="00C0622A">
      <w:pPr>
        <w:rPr>
          <w:color w:val="auto"/>
        </w:rPr>
      </w:pPr>
      <w:r w:rsidRPr="00D66461">
        <w:rPr>
          <w:color w:val="auto"/>
        </w:rPr>
        <w:t>O não cumprimento dos limites, requisitos e normas estabelecidos, podem ser classificados como sendo:</w:t>
      </w:r>
    </w:p>
    <w:p w14:paraId="7301F9EA" w14:textId="77777777" w:rsidR="005B5E5B" w:rsidRPr="00D66461" w:rsidRDefault="008E4EE1" w:rsidP="000D5D97">
      <w:pPr>
        <w:pStyle w:val="PargrafodaLista"/>
        <w:numPr>
          <w:ilvl w:val="0"/>
          <w:numId w:val="7"/>
        </w:numPr>
        <w:rPr>
          <w:color w:val="auto"/>
        </w:rPr>
      </w:pPr>
      <w:r w:rsidRPr="00D66461">
        <w:rPr>
          <w:color w:val="auto"/>
        </w:rPr>
        <w:t xml:space="preserve">Desenquadramento da </w:t>
      </w:r>
      <w:r w:rsidR="00953BF2" w:rsidRPr="00D66461">
        <w:rPr>
          <w:color w:val="auto"/>
        </w:rPr>
        <w:t>C</w:t>
      </w:r>
      <w:r w:rsidRPr="00D66461">
        <w:rPr>
          <w:color w:val="auto"/>
        </w:rPr>
        <w:t xml:space="preserve">arteira de </w:t>
      </w:r>
      <w:r w:rsidR="00953BF2" w:rsidRPr="00D66461">
        <w:rPr>
          <w:color w:val="auto"/>
        </w:rPr>
        <w:t>I</w:t>
      </w:r>
      <w:r w:rsidRPr="00D66461">
        <w:rPr>
          <w:color w:val="auto"/>
        </w:rPr>
        <w:t>nvestimentos;</w:t>
      </w:r>
    </w:p>
    <w:p w14:paraId="4FEEF7C2" w14:textId="77777777" w:rsidR="005B5E5B" w:rsidRPr="00D66461" w:rsidRDefault="008E4EE1" w:rsidP="000D5D97">
      <w:pPr>
        <w:pStyle w:val="PargrafodaLista"/>
        <w:numPr>
          <w:ilvl w:val="0"/>
          <w:numId w:val="7"/>
        </w:numPr>
        <w:rPr>
          <w:color w:val="auto"/>
        </w:rPr>
      </w:pPr>
      <w:r w:rsidRPr="00D66461">
        <w:rPr>
          <w:color w:val="auto"/>
        </w:rPr>
        <w:t>Desenquadramento do</w:t>
      </w:r>
      <w:r w:rsidR="00953BF2" w:rsidRPr="00D66461">
        <w:rPr>
          <w:color w:val="auto"/>
        </w:rPr>
        <w:t xml:space="preserve"> F</w:t>
      </w:r>
      <w:r w:rsidRPr="00D66461">
        <w:rPr>
          <w:color w:val="auto"/>
        </w:rPr>
        <w:t xml:space="preserve">undo de </w:t>
      </w:r>
      <w:r w:rsidR="00953BF2" w:rsidRPr="00D66461">
        <w:rPr>
          <w:color w:val="auto"/>
        </w:rPr>
        <w:t>I</w:t>
      </w:r>
      <w:r w:rsidRPr="00D66461">
        <w:rPr>
          <w:color w:val="auto"/>
        </w:rPr>
        <w:t>nvestimento;</w:t>
      </w:r>
    </w:p>
    <w:p w14:paraId="043E7584" w14:textId="77777777" w:rsidR="005B5E5B" w:rsidRPr="00D66461" w:rsidRDefault="008E4EE1" w:rsidP="000D5D97">
      <w:pPr>
        <w:pStyle w:val="PargrafodaLista"/>
        <w:numPr>
          <w:ilvl w:val="0"/>
          <w:numId w:val="7"/>
        </w:numPr>
        <w:rPr>
          <w:color w:val="auto"/>
        </w:rPr>
      </w:pPr>
      <w:r w:rsidRPr="00D66461">
        <w:rPr>
          <w:color w:val="auto"/>
        </w:rPr>
        <w:t>Desenquadramento da Política de Investimentos;</w:t>
      </w:r>
    </w:p>
    <w:p w14:paraId="1D66C4E5" w14:textId="6B2EF948" w:rsidR="008E4EE1" w:rsidRPr="00D66461" w:rsidRDefault="00953BF2" w:rsidP="000D5D97">
      <w:pPr>
        <w:pStyle w:val="PargrafodaLista"/>
        <w:numPr>
          <w:ilvl w:val="0"/>
          <w:numId w:val="7"/>
        </w:numPr>
        <w:rPr>
          <w:color w:val="auto"/>
        </w:rPr>
      </w:pPr>
      <w:r w:rsidRPr="00D66461">
        <w:rPr>
          <w:color w:val="auto"/>
        </w:rPr>
        <w:t xml:space="preserve">Movimentações Financeiras não </w:t>
      </w:r>
      <w:r w:rsidR="00E51FB9" w:rsidRPr="00D66461">
        <w:rPr>
          <w:color w:val="auto"/>
        </w:rPr>
        <w:t>autorizadas</w:t>
      </w:r>
      <w:r w:rsidRPr="00D66461">
        <w:rPr>
          <w:color w:val="auto"/>
        </w:rPr>
        <w:t>;</w:t>
      </w:r>
    </w:p>
    <w:p w14:paraId="3BED6326" w14:textId="34B1C11D" w:rsidR="00201956" w:rsidRPr="00D66461" w:rsidRDefault="00953BF2" w:rsidP="005B5E5B">
      <w:pPr>
        <w:rPr>
          <w:color w:val="auto"/>
        </w:rPr>
      </w:pPr>
      <w:r w:rsidRPr="00D66461">
        <w:rPr>
          <w:color w:val="auto"/>
        </w:rPr>
        <w:t>Caso identificado o</w:t>
      </w:r>
      <w:r w:rsidR="0071269F" w:rsidRPr="00D66461">
        <w:rPr>
          <w:color w:val="auto"/>
        </w:rPr>
        <w:t xml:space="preserve"> </w:t>
      </w:r>
      <w:r w:rsidRPr="00D66461">
        <w:rPr>
          <w:color w:val="auto"/>
        </w:rPr>
        <w:t>não cumprimento</w:t>
      </w:r>
      <w:r w:rsidR="00DF0B23" w:rsidRPr="00D66461">
        <w:rPr>
          <w:color w:val="auto"/>
        </w:rPr>
        <w:t xml:space="preserve"> dos itens descritos</w:t>
      </w:r>
      <w:r w:rsidR="0071269F" w:rsidRPr="00D66461">
        <w:rPr>
          <w:color w:val="auto"/>
        </w:rPr>
        <w:t>, ficam os responsáveis pelos investimentos, devidamente definidos nesta Política de Investimentos, obrigados a:</w:t>
      </w:r>
    </w:p>
    <w:tbl>
      <w:tblPr>
        <w:tblStyle w:val="Tabelacomgrade"/>
        <w:tblW w:w="5000" w:type="pct"/>
        <w:tblLook w:val="04A0" w:firstRow="1" w:lastRow="0" w:firstColumn="1" w:lastColumn="0" w:noHBand="0" w:noVBand="1"/>
      </w:tblPr>
      <w:tblGrid>
        <w:gridCol w:w="3056"/>
        <w:gridCol w:w="3028"/>
        <w:gridCol w:w="2977"/>
      </w:tblGrid>
      <w:tr w:rsidR="00D66461" w:rsidRPr="00D66461" w14:paraId="1AA694DF" w14:textId="77777777" w:rsidTr="005B5E5B">
        <w:tc>
          <w:tcPr>
            <w:tcW w:w="1686" w:type="pct"/>
          </w:tcPr>
          <w:p w14:paraId="6A830B98" w14:textId="676DFF73" w:rsidR="0071269F" w:rsidRPr="00D66461" w:rsidRDefault="0071269F" w:rsidP="005B5E5B">
            <w:pPr>
              <w:jc w:val="center"/>
              <w:rPr>
                <w:b/>
                <w:color w:val="auto"/>
                <w:sz w:val="14"/>
              </w:rPr>
            </w:pPr>
            <w:r w:rsidRPr="00D66461">
              <w:rPr>
                <w:b/>
                <w:color w:val="auto"/>
                <w:sz w:val="14"/>
              </w:rPr>
              <w:t>Contingências</w:t>
            </w:r>
          </w:p>
        </w:tc>
        <w:tc>
          <w:tcPr>
            <w:tcW w:w="1671" w:type="pct"/>
          </w:tcPr>
          <w:p w14:paraId="4060BC02" w14:textId="570CD53C" w:rsidR="0071269F" w:rsidRPr="00D66461" w:rsidRDefault="0071269F" w:rsidP="005B5E5B">
            <w:pPr>
              <w:jc w:val="center"/>
              <w:rPr>
                <w:b/>
                <w:color w:val="auto"/>
                <w:sz w:val="14"/>
              </w:rPr>
            </w:pPr>
            <w:r w:rsidRPr="00D66461">
              <w:rPr>
                <w:b/>
                <w:color w:val="auto"/>
                <w:sz w:val="14"/>
              </w:rPr>
              <w:t>Medidas</w:t>
            </w:r>
          </w:p>
        </w:tc>
        <w:tc>
          <w:tcPr>
            <w:tcW w:w="1643" w:type="pct"/>
          </w:tcPr>
          <w:p w14:paraId="5A1960E2" w14:textId="70AEEE04" w:rsidR="0071269F" w:rsidRPr="00D66461" w:rsidRDefault="0071269F" w:rsidP="005B5E5B">
            <w:pPr>
              <w:jc w:val="center"/>
              <w:rPr>
                <w:b/>
                <w:color w:val="auto"/>
                <w:sz w:val="14"/>
              </w:rPr>
            </w:pPr>
            <w:r w:rsidRPr="00D66461">
              <w:rPr>
                <w:b/>
                <w:color w:val="auto"/>
                <w:sz w:val="14"/>
              </w:rPr>
              <w:t>Resolução</w:t>
            </w:r>
          </w:p>
        </w:tc>
      </w:tr>
      <w:tr w:rsidR="00D66461" w:rsidRPr="00D66461" w14:paraId="6855D352" w14:textId="77777777" w:rsidTr="005B5E5B">
        <w:tc>
          <w:tcPr>
            <w:tcW w:w="1686" w:type="pct"/>
            <w:vAlign w:val="center"/>
          </w:tcPr>
          <w:p w14:paraId="03A9EF87" w14:textId="4348C4EB" w:rsidR="0071269F" w:rsidRPr="00D66461" w:rsidRDefault="00953BF2" w:rsidP="005B5E5B">
            <w:pPr>
              <w:jc w:val="left"/>
              <w:rPr>
                <w:color w:val="auto"/>
                <w:sz w:val="14"/>
              </w:rPr>
            </w:pPr>
            <w:r w:rsidRPr="00D66461">
              <w:rPr>
                <w:color w:val="auto"/>
                <w:sz w:val="14"/>
              </w:rPr>
              <w:t>1 – Desenquadramento da Carteira de Investimentos</w:t>
            </w:r>
          </w:p>
        </w:tc>
        <w:tc>
          <w:tcPr>
            <w:tcW w:w="1671" w:type="pct"/>
          </w:tcPr>
          <w:p w14:paraId="021104D8" w14:textId="0CBB5BAC" w:rsidR="0071269F" w:rsidRPr="00D66461" w:rsidRDefault="00953BF2" w:rsidP="005B5E5B">
            <w:pPr>
              <w:rPr>
                <w:color w:val="auto"/>
                <w:sz w:val="14"/>
              </w:rPr>
            </w:pPr>
            <w:r w:rsidRPr="00D66461">
              <w:rPr>
                <w:color w:val="auto"/>
                <w:sz w:val="14"/>
              </w:rPr>
              <w:t>a) Apuração das causas acompanhado de relatório;</w:t>
            </w:r>
          </w:p>
          <w:p w14:paraId="2839E3CA" w14:textId="2F5D4179" w:rsidR="00953BF2" w:rsidRPr="00D66461" w:rsidRDefault="00953BF2" w:rsidP="005B5E5B">
            <w:pPr>
              <w:rPr>
                <w:color w:val="auto"/>
                <w:sz w:val="14"/>
              </w:rPr>
            </w:pPr>
            <w:r w:rsidRPr="00D66461">
              <w:rPr>
                <w:color w:val="auto"/>
                <w:sz w:val="14"/>
              </w:rPr>
              <w:t>b) Identificação dos envolvidos a contar do início do processo;</w:t>
            </w:r>
          </w:p>
          <w:p w14:paraId="2956D095" w14:textId="7A7A78B8" w:rsidR="00953BF2" w:rsidRPr="00D66461" w:rsidRDefault="00953BF2" w:rsidP="005B5E5B">
            <w:pPr>
              <w:rPr>
                <w:color w:val="auto"/>
                <w:sz w:val="14"/>
              </w:rPr>
            </w:pPr>
            <w:r w:rsidRPr="00D66461">
              <w:rPr>
                <w:color w:val="auto"/>
                <w:sz w:val="14"/>
              </w:rPr>
              <w:t>c) Estudo Técnico com a viabilidade para o enquadramento.</w:t>
            </w:r>
          </w:p>
        </w:tc>
        <w:tc>
          <w:tcPr>
            <w:tcW w:w="1643" w:type="pct"/>
            <w:vAlign w:val="center"/>
          </w:tcPr>
          <w:p w14:paraId="028CA2FF" w14:textId="396AE304" w:rsidR="0071269F" w:rsidRPr="00D66461" w:rsidRDefault="00953BF2" w:rsidP="005B5E5B">
            <w:pPr>
              <w:jc w:val="left"/>
              <w:rPr>
                <w:color w:val="auto"/>
                <w:sz w:val="14"/>
              </w:rPr>
            </w:pPr>
            <w:r w:rsidRPr="00D66461">
              <w:rPr>
                <w:color w:val="auto"/>
                <w:sz w:val="14"/>
              </w:rPr>
              <w:t>Curto, Médio e Longo Prazo</w:t>
            </w:r>
          </w:p>
        </w:tc>
      </w:tr>
      <w:tr w:rsidR="00D66461" w:rsidRPr="00D66461" w14:paraId="02A561AD" w14:textId="77777777" w:rsidTr="005B5E5B">
        <w:tc>
          <w:tcPr>
            <w:tcW w:w="1686" w:type="pct"/>
            <w:vAlign w:val="center"/>
          </w:tcPr>
          <w:p w14:paraId="0A4159A4" w14:textId="006C1C86" w:rsidR="0071269F" w:rsidRPr="00D66461" w:rsidRDefault="00953BF2" w:rsidP="005B5E5B">
            <w:pPr>
              <w:jc w:val="left"/>
              <w:rPr>
                <w:color w:val="auto"/>
                <w:sz w:val="14"/>
              </w:rPr>
            </w:pPr>
            <w:r w:rsidRPr="00D66461">
              <w:rPr>
                <w:color w:val="auto"/>
                <w:sz w:val="14"/>
              </w:rPr>
              <w:t>2 – Desenquadramento do Fundo de Investimento</w:t>
            </w:r>
          </w:p>
        </w:tc>
        <w:tc>
          <w:tcPr>
            <w:tcW w:w="1671" w:type="pct"/>
          </w:tcPr>
          <w:p w14:paraId="0C7BC329" w14:textId="77777777" w:rsidR="00953BF2" w:rsidRPr="00D66461" w:rsidRDefault="00953BF2" w:rsidP="005B5E5B">
            <w:pPr>
              <w:rPr>
                <w:color w:val="auto"/>
                <w:sz w:val="14"/>
              </w:rPr>
            </w:pPr>
            <w:r w:rsidRPr="00D66461">
              <w:rPr>
                <w:color w:val="auto"/>
                <w:sz w:val="14"/>
              </w:rPr>
              <w:t>a) Apuração das causas acompanhado de relatório;</w:t>
            </w:r>
          </w:p>
          <w:p w14:paraId="02FAADCD" w14:textId="77777777" w:rsidR="00953BF2" w:rsidRPr="00D66461" w:rsidRDefault="00953BF2" w:rsidP="005B5E5B">
            <w:pPr>
              <w:rPr>
                <w:color w:val="auto"/>
                <w:sz w:val="14"/>
              </w:rPr>
            </w:pPr>
            <w:r w:rsidRPr="00D66461">
              <w:rPr>
                <w:color w:val="auto"/>
                <w:sz w:val="14"/>
              </w:rPr>
              <w:t>b) Identificação dos envolvidos a contar do início do processo;</w:t>
            </w:r>
          </w:p>
          <w:p w14:paraId="0818AB45" w14:textId="65EA43E6" w:rsidR="0071269F" w:rsidRPr="00D66461" w:rsidRDefault="00953BF2" w:rsidP="005B5E5B">
            <w:pPr>
              <w:rPr>
                <w:color w:val="auto"/>
                <w:sz w:val="14"/>
              </w:rPr>
            </w:pPr>
            <w:r w:rsidRPr="00D66461">
              <w:rPr>
                <w:color w:val="auto"/>
                <w:sz w:val="14"/>
              </w:rPr>
              <w:t>c) Estudo Técnico com a viabilidade para o enquadramento.</w:t>
            </w:r>
          </w:p>
        </w:tc>
        <w:tc>
          <w:tcPr>
            <w:tcW w:w="1643" w:type="pct"/>
            <w:vAlign w:val="center"/>
          </w:tcPr>
          <w:p w14:paraId="356F1C81" w14:textId="74F6A87B" w:rsidR="0071269F" w:rsidRPr="00D66461" w:rsidRDefault="00953BF2" w:rsidP="005B5E5B">
            <w:pPr>
              <w:jc w:val="left"/>
              <w:rPr>
                <w:color w:val="auto"/>
                <w:sz w:val="14"/>
              </w:rPr>
            </w:pPr>
            <w:r w:rsidRPr="00D66461">
              <w:rPr>
                <w:color w:val="auto"/>
                <w:sz w:val="14"/>
              </w:rPr>
              <w:t>Curto, Médio e Longo Prazo</w:t>
            </w:r>
          </w:p>
        </w:tc>
      </w:tr>
      <w:tr w:rsidR="00D66461" w:rsidRPr="00D66461" w14:paraId="763854B4" w14:textId="77777777" w:rsidTr="005B5E5B">
        <w:tc>
          <w:tcPr>
            <w:tcW w:w="1686" w:type="pct"/>
            <w:vAlign w:val="center"/>
          </w:tcPr>
          <w:p w14:paraId="1AD8D4C6" w14:textId="6E843CB4" w:rsidR="0071269F" w:rsidRPr="00D66461" w:rsidRDefault="00953BF2" w:rsidP="005B5E5B">
            <w:pPr>
              <w:jc w:val="left"/>
              <w:rPr>
                <w:color w:val="auto"/>
                <w:sz w:val="14"/>
              </w:rPr>
            </w:pPr>
            <w:r w:rsidRPr="00D66461">
              <w:rPr>
                <w:color w:val="auto"/>
                <w:sz w:val="14"/>
              </w:rPr>
              <w:t>3 – Desenquadramento da Política de Investimentos</w:t>
            </w:r>
          </w:p>
        </w:tc>
        <w:tc>
          <w:tcPr>
            <w:tcW w:w="1671" w:type="pct"/>
          </w:tcPr>
          <w:p w14:paraId="2101E9E6" w14:textId="77777777" w:rsidR="00953BF2" w:rsidRPr="00D66461" w:rsidRDefault="00953BF2" w:rsidP="005B5E5B">
            <w:pPr>
              <w:rPr>
                <w:color w:val="auto"/>
                <w:sz w:val="14"/>
              </w:rPr>
            </w:pPr>
            <w:r w:rsidRPr="00D66461">
              <w:rPr>
                <w:color w:val="auto"/>
                <w:sz w:val="14"/>
              </w:rPr>
              <w:t>a) Apuração das causas acompanhado de relatório;</w:t>
            </w:r>
          </w:p>
          <w:p w14:paraId="6176DEDD" w14:textId="77777777" w:rsidR="00953BF2" w:rsidRPr="00D66461" w:rsidRDefault="00953BF2" w:rsidP="005B5E5B">
            <w:pPr>
              <w:rPr>
                <w:color w:val="auto"/>
                <w:sz w:val="14"/>
              </w:rPr>
            </w:pPr>
            <w:r w:rsidRPr="00D66461">
              <w:rPr>
                <w:color w:val="auto"/>
                <w:sz w:val="14"/>
              </w:rPr>
              <w:lastRenderedPageBreak/>
              <w:t>b) Identificação dos envolvidos a contar do início do processo;</w:t>
            </w:r>
          </w:p>
          <w:p w14:paraId="0B676AD4" w14:textId="2850BAF9" w:rsidR="0071269F" w:rsidRPr="00D66461" w:rsidRDefault="00953BF2" w:rsidP="005B5E5B">
            <w:pPr>
              <w:rPr>
                <w:color w:val="auto"/>
                <w:sz w:val="14"/>
              </w:rPr>
            </w:pPr>
            <w:r w:rsidRPr="00D66461">
              <w:rPr>
                <w:color w:val="auto"/>
                <w:sz w:val="14"/>
              </w:rPr>
              <w:t>c) Estudo Técnico com a viabilidade para o enquadramento.</w:t>
            </w:r>
          </w:p>
        </w:tc>
        <w:tc>
          <w:tcPr>
            <w:tcW w:w="1643" w:type="pct"/>
            <w:vAlign w:val="center"/>
          </w:tcPr>
          <w:p w14:paraId="1979F1A7" w14:textId="50732898" w:rsidR="0071269F" w:rsidRPr="00D66461" w:rsidRDefault="00CB5DCF" w:rsidP="005B5E5B">
            <w:pPr>
              <w:jc w:val="left"/>
              <w:rPr>
                <w:color w:val="auto"/>
                <w:sz w:val="14"/>
              </w:rPr>
            </w:pPr>
            <w:r w:rsidRPr="00D66461">
              <w:rPr>
                <w:color w:val="auto"/>
                <w:sz w:val="14"/>
              </w:rPr>
              <w:lastRenderedPageBreak/>
              <w:t>Curto, Médio e Longo Prazo</w:t>
            </w:r>
          </w:p>
        </w:tc>
      </w:tr>
      <w:tr w:rsidR="00D66461" w:rsidRPr="00D66461" w14:paraId="04825EF0" w14:textId="77777777" w:rsidTr="005B5E5B">
        <w:tc>
          <w:tcPr>
            <w:tcW w:w="1686" w:type="pct"/>
            <w:vAlign w:val="center"/>
          </w:tcPr>
          <w:p w14:paraId="0A59061D" w14:textId="5A82E324" w:rsidR="00CB5DCF" w:rsidRPr="00D66461" w:rsidRDefault="00CB5DCF" w:rsidP="005B5E5B">
            <w:pPr>
              <w:jc w:val="left"/>
              <w:rPr>
                <w:color w:val="auto"/>
                <w:sz w:val="14"/>
              </w:rPr>
            </w:pPr>
            <w:r w:rsidRPr="00D66461">
              <w:rPr>
                <w:color w:val="auto"/>
                <w:sz w:val="14"/>
              </w:rPr>
              <w:t xml:space="preserve">4 – Movimentações Financeiras não </w:t>
            </w:r>
            <w:r w:rsidR="00E51FB9" w:rsidRPr="00D66461">
              <w:rPr>
                <w:color w:val="auto"/>
                <w:sz w:val="14"/>
              </w:rPr>
              <w:t>autorizadas</w:t>
            </w:r>
          </w:p>
        </w:tc>
        <w:tc>
          <w:tcPr>
            <w:tcW w:w="1671" w:type="pct"/>
          </w:tcPr>
          <w:p w14:paraId="21B5E58D" w14:textId="77777777" w:rsidR="00CB5DCF" w:rsidRPr="00D66461" w:rsidRDefault="00CB5DCF" w:rsidP="005B5E5B">
            <w:pPr>
              <w:rPr>
                <w:color w:val="auto"/>
                <w:sz w:val="14"/>
              </w:rPr>
            </w:pPr>
            <w:r w:rsidRPr="00D66461">
              <w:rPr>
                <w:color w:val="auto"/>
                <w:sz w:val="14"/>
              </w:rPr>
              <w:t>a) Apuração das causas acompanhado de relatório;</w:t>
            </w:r>
          </w:p>
          <w:p w14:paraId="5A3421DF" w14:textId="77777777" w:rsidR="00CB5DCF" w:rsidRPr="00D66461" w:rsidRDefault="00CB5DCF" w:rsidP="005B5E5B">
            <w:pPr>
              <w:rPr>
                <w:color w:val="auto"/>
                <w:sz w:val="14"/>
              </w:rPr>
            </w:pPr>
            <w:r w:rsidRPr="00D66461">
              <w:rPr>
                <w:color w:val="auto"/>
                <w:sz w:val="14"/>
              </w:rPr>
              <w:t>b) Identificação dos envolvidos a contar do início do processo;</w:t>
            </w:r>
          </w:p>
          <w:p w14:paraId="200240CE" w14:textId="77777777" w:rsidR="00CB5DCF" w:rsidRPr="00D66461" w:rsidRDefault="00CB5DCF" w:rsidP="005B5E5B">
            <w:pPr>
              <w:rPr>
                <w:color w:val="auto"/>
                <w:sz w:val="14"/>
              </w:rPr>
            </w:pPr>
            <w:r w:rsidRPr="00D66461">
              <w:rPr>
                <w:color w:val="auto"/>
                <w:sz w:val="14"/>
              </w:rPr>
              <w:t>c) Estudo Técnico com a viabilidade para resolução;</w:t>
            </w:r>
          </w:p>
          <w:p w14:paraId="144C4CD2" w14:textId="5E2C4162" w:rsidR="00CB5DCF" w:rsidRPr="00D66461" w:rsidRDefault="00CB5DCF" w:rsidP="005B5E5B">
            <w:pPr>
              <w:rPr>
                <w:color w:val="auto"/>
                <w:sz w:val="14"/>
              </w:rPr>
            </w:pPr>
            <w:r w:rsidRPr="00D66461">
              <w:rPr>
                <w:color w:val="auto"/>
                <w:sz w:val="14"/>
              </w:rPr>
              <w:t>d) Ações e Medidas, se necessárias, judiciais para a responsabilização dos responsáveis.</w:t>
            </w:r>
          </w:p>
        </w:tc>
        <w:tc>
          <w:tcPr>
            <w:tcW w:w="1643" w:type="pct"/>
            <w:vAlign w:val="center"/>
          </w:tcPr>
          <w:p w14:paraId="4E2BE1CD" w14:textId="2A8BDC8C" w:rsidR="00CB5DCF" w:rsidRPr="00D66461" w:rsidRDefault="00CB5DCF" w:rsidP="005B5E5B">
            <w:pPr>
              <w:jc w:val="left"/>
              <w:rPr>
                <w:color w:val="auto"/>
                <w:sz w:val="14"/>
              </w:rPr>
            </w:pPr>
            <w:r w:rsidRPr="00D66461">
              <w:rPr>
                <w:color w:val="auto"/>
                <w:sz w:val="14"/>
              </w:rPr>
              <w:t>Curto, Médio e Longo Prazo</w:t>
            </w:r>
          </w:p>
        </w:tc>
      </w:tr>
    </w:tbl>
    <w:p w14:paraId="630AD50E" w14:textId="3DF8A53D" w:rsidR="00DF0B23" w:rsidRDefault="00DF0B23" w:rsidP="00C0622A"/>
    <w:p w14:paraId="5673EB4A" w14:textId="77777777" w:rsidR="00C0622A" w:rsidRDefault="00C0622A" w:rsidP="00C0622A"/>
    <w:p w14:paraId="58BAB6FB" w14:textId="2B246B58" w:rsidR="00C43FDD" w:rsidRDefault="00C43FDD" w:rsidP="00BB08FE">
      <w:pPr>
        <w:pStyle w:val="Ttulo2"/>
      </w:pPr>
      <w:bookmarkStart w:id="117" w:name="_Toc90997507"/>
      <w:r>
        <w:t>POTENCIAIS PERDAS DOS RECURSOS</w:t>
      </w:r>
      <w:bookmarkEnd w:id="117"/>
    </w:p>
    <w:p w14:paraId="487D3001" w14:textId="02DE5768" w:rsidR="004A2AF2" w:rsidRPr="00D66461" w:rsidRDefault="00C44EBF" w:rsidP="00C0622A">
      <w:pPr>
        <w:rPr>
          <w:color w:val="auto"/>
        </w:rPr>
      </w:pPr>
      <w:r w:rsidRPr="00D66461">
        <w:rPr>
          <w:color w:val="auto"/>
        </w:rPr>
        <w:t xml:space="preserve">Entende como </w:t>
      </w:r>
      <w:r w:rsidR="00A31F3E" w:rsidRPr="00D66461">
        <w:rPr>
          <w:color w:val="auto"/>
        </w:rPr>
        <w:t>potenciais</w:t>
      </w:r>
      <w:r w:rsidRPr="00D66461">
        <w:rPr>
          <w:color w:val="auto"/>
        </w:rPr>
        <w:t xml:space="preserve"> perdas dos recursos </w:t>
      </w:r>
      <w:r w:rsidR="00B77CE0" w:rsidRPr="00D66461">
        <w:rPr>
          <w:color w:val="auto"/>
        </w:rPr>
        <w:t xml:space="preserve">os </w:t>
      </w:r>
      <w:r w:rsidRPr="00D66461">
        <w:rPr>
          <w:color w:val="auto"/>
        </w:rPr>
        <w:t xml:space="preserve">volumes </w:t>
      </w:r>
      <w:r w:rsidR="004A2AF2" w:rsidRPr="00D66461">
        <w:rPr>
          <w:color w:val="auto"/>
        </w:rPr>
        <w:t xml:space="preserve">expressivos </w:t>
      </w:r>
      <w:r w:rsidR="00B77CE0" w:rsidRPr="00D66461">
        <w:rPr>
          <w:color w:val="auto"/>
        </w:rPr>
        <w:t>provenientes de fundos de investimentos diretamente atrelados aos riscos</w:t>
      </w:r>
      <w:r w:rsidRPr="00D66461">
        <w:rPr>
          <w:color w:val="auto"/>
        </w:rPr>
        <w:t xml:space="preserve"> de mercado, crédito e liquidez.</w:t>
      </w:r>
    </w:p>
    <w:tbl>
      <w:tblPr>
        <w:tblStyle w:val="Tabelacomgrade"/>
        <w:tblW w:w="5000" w:type="pct"/>
        <w:tblLook w:val="04A0" w:firstRow="1" w:lastRow="0" w:firstColumn="1" w:lastColumn="0" w:noHBand="0" w:noVBand="1"/>
      </w:tblPr>
      <w:tblGrid>
        <w:gridCol w:w="3056"/>
        <w:gridCol w:w="3028"/>
        <w:gridCol w:w="2977"/>
      </w:tblGrid>
      <w:tr w:rsidR="00D66461" w:rsidRPr="00D66461" w14:paraId="256B2226" w14:textId="77777777" w:rsidTr="005B5E5B">
        <w:tc>
          <w:tcPr>
            <w:tcW w:w="1686" w:type="pct"/>
          </w:tcPr>
          <w:p w14:paraId="239A80B9" w14:textId="77777777" w:rsidR="00811CB0" w:rsidRPr="00D66461" w:rsidRDefault="00811CB0" w:rsidP="00435A6C">
            <w:pPr>
              <w:jc w:val="center"/>
              <w:rPr>
                <w:b/>
                <w:color w:val="auto"/>
                <w:sz w:val="14"/>
                <w:szCs w:val="14"/>
              </w:rPr>
            </w:pPr>
            <w:r w:rsidRPr="00D66461">
              <w:rPr>
                <w:b/>
                <w:color w:val="auto"/>
                <w:sz w:val="14"/>
                <w:szCs w:val="14"/>
              </w:rPr>
              <w:t>Contingências</w:t>
            </w:r>
          </w:p>
        </w:tc>
        <w:tc>
          <w:tcPr>
            <w:tcW w:w="1671" w:type="pct"/>
          </w:tcPr>
          <w:p w14:paraId="7948ED81" w14:textId="77777777" w:rsidR="00811CB0" w:rsidRPr="00D66461" w:rsidRDefault="00811CB0" w:rsidP="00435A6C">
            <w:pPr>
              <w:jc w:val="center"/>
              <w:rPr>
                <w:b/>
                <w:color w:val="auto"/>
                <w:sz w:val="14"/>
                <w:szCs w:val="14"/>
              </w:rPr>
            </w:pPr>
            <w:r w:rsidRPr="00D66461">
              <w:rPr>
                <w:b/>
                <w:color w:val="auto"/>
                <w:sz w:val="14"/>
                <w:szCs w:val="14"/>
              </w:rPr>
              <w:t>Medidas</w:t>
            </w:r>
          </w:p>
        </w:tc>
        <w:tc>
          <w:tcPr>
            <w:tcW w:w="1643" w:type="pct"/>
          </w:tcPr>
          <w:p w14:paraId="7DCC65D2" w14:textId="77777777" w:rsidR="00811CB0" w:rsidRPr="00D66461" w:rsidRDefault="00811CB0" w:rsidP="00435A6C">
            <w:pPr>
              <w:jc w:val="center"/>
              <w:rPr>
                <w:b/>
                <w:color w:val="auto"/>
                <w:sz w:val="14"/>
                <w:szCs w:val="14"/>
              </w:rPr>
            </w:pPr>
            <w:r w:rsidRPr="00D66461">
              <w:rPr>
                <w:b/>
                <w:color w:val="auto"/>
                <w:sz w:val="14"/>
                <w:szCs w:val="14"/>
              </w:rPr>
              <w:t>Resolução</w:t>
            </w:r>
          </w:p>
        </w:tc>
      </w:tr>
      <w:tr w:rsidR="00D66461" w:rsidRPr="00D66461" w14:paraId="05EB2953" w14:textId="77777777" w:rsidTr="005B5E5B">
        <w:tc>
          <w:tcPr>
            <w:tcW w:w="1686" w:type="pct"/>
          </w:tcPr>
          <w:p w14:paraId="1A09E532" w14:textId="71573AF4" w:rsidR="00811CB0" w:rsidRPr="00D66461" w:rsidRDefault="00811CB0">
            <w:pPr>
              <w:rPr>
                <w:color w:val="auto"/>
                <w:sz w:val="14"/>
                <w:szCs w:val="14"/>
              </w:rPr>
            </w:pPr>
            <w:r w:rsidRPr="00D66461">
              <w:rPr>
                <w:color w:val="auto"/>
                <w:sz w:val="14"/>
                <w:szCs w:val="14"/>
              </w:rPr>
              <w:t>1 – Potenciais perdas de recursos</w:t>
            </w:r>
          </w:p>
        </w:tc>
        <w:tc>
          <w:tcPr>
            <w:tcW w:w="1671" w:type="pct"/>
          </w:tcPr>
          <w:p w14:paraId="08AA7D65" w14:textId="77777777" w:rsidR="00811CB0" w:rsidRPr="00D66461" w:rsidRDefault="00811CB0" w:rsidP="00435A6C">
            <w:pPr>
              <w:rPr>
                <w:color w:val="auto"/>
                <w:sz w:val="14"/>
                <w:szCs w:val="14"/>
              </w:rPr>
            </w:pPr>
            <w:r w:rsidRPr="00D66461">
              <w:rPr>
                <w:color w:val="auto"/>
                <w:sz w:val="14"/>
                <w:szCs w:val="14"/>
              </w:rPr>
              <w:t>a) Apuração das causas acompanhado de relatório;</w:t>
            </w:r>
          </w:p>
          <w:p w14:paraId="0F993115" w14:textId="77777777" w:rsidR="00811CB0" w:rsidRPr="00D66461" w:rsidRDefault="00811CB0" w:rsidP="00435A6C">
            <w:pPr>
              <w:rPr>
                <w:color w:val="auto"/>
                <w:sz w:val="14"/>
                <w:szCs w:val="14"/>
              </w:rPr>
            </w:pPr>
            <w:r w:rsidRPr="00D66461">
              <w:rPr>
                <w:color w:val="auto"/>
                <w:sz w:val="14"/>
                <w:szCs w:val="14"/>
              </w:rPr>
              <w:t>b) Identificação dos envolvidos a contar do início do processo;</w:t>
            </w:r>
          </w:p>
          <w:p w14:paraId="02FCBE9C" w14:textId="792820D0" w:rsidR="00811CB0" w:rsidRPr="00D66461" w:rsidRDefault="00811CB0">
            <w:pPr>
              <w:rPr>
                <w:color w:val="auto"/>
                <w:sz w:val="14"/>
                <w:szCs w:val="14"/>
              </w:rPr>
            </w:pPr>
            <w:r w:rsidRPr="00D66461">
              <w:rPr>
                <w:color w:val="auto"/>
                <w:sz w:val="14"/>
                <w:szCs w:val="14"/>
              </w:rPr>
              <w:t>c) Estudo Técnico com a viabilidade administrativa, financeira e se for o caso, jurídica.</w:t>
            </w:r>
          </w:p>
        </w:tc>
        <w:tc>
          <w:tcPr>
            <w:tcW w:w="1643" w:type="pct"/>
          </w:tcPr>
          <w:p w14:paraId="35292131" w14:textId="77777777" w:rsidR="00811CB0" w:rsidRPr="00D66461" w:rsidRDefault="00811CB0" w:rsidP="00435A6C">
            <w:pPr>
              <w:rPr>
                <w:color w:val="auto"/>
                <w:sz w:val="14"/>
                <w:szCs w:val="14"/>
              </w:rPr>
            </w:pPr>
            <w:r w:rsidRPr="00D66461">
              <w:rPr>
                <w:color w:val="auto"/>
                <w:sz w:val="14"/>
                <w:szCs w:val="14"/>
              </w:rPr>
              <w:t>Curto, Médio e Longo Prazo</w:t>
            </w:r>
          </w:p>
        </w:tc>
      </w:tr>
    </w:tbl>
    <w:p w14:paraId="21464621" w14:textId="7DB526C7" w:rsidR="006B0FB7" w:rsidRPr="00D66461" w:rsidRDefault="006B0FB7" w:rsidP="00C0622A">
      <w:pPr>
        <w:pStyle w:val="Ttulo1"/>
        <w:spacing w:before="360"/>
        <w:rPr>
          <w:color w:val="auto"/>
        </w:rPr>
      </w:pPr>
      <w:bookmarkStart w:id="118" w:name="_Toc90997508"/>
      <w:r w:rsidRPr="00D66461">
        <w:rPr>
          <w:color w:val="auto"/>
        </w:rPr>
        <w:t>C</w:t>
      </w:r>
      <w:bookmarkEnd w:id="103"/>
      <w:r w:rsidRPr="00D66461">
        <w:rPr>
          <w:color w:val="auto"/>
        </w:rPr>
        <w:t>ONTROLES INTERNOS</w:t>
      </w:r>
      <w:bookmarkEnd w:id="104"/>
      <w:bookmarkEnd w:id="105"/>
      <w:bookmarkEnd w:id="118"/>
    </w:p>
    <w:p w14:paraId="52F902B0" w14:textId="6235A532" w:rsidR="00A22633" w:rsidRPr="00D66461" w:rsidRDefault="00A22633" w:rsidP="00C0622A">
      <w:pPr>
        <w:rPr>
          <w:bCs/>
          <w:color w:val="auto"/>
          <w:szCs w:val="20"/>
        </w:rPr>
      </w:pPr>
      <w:r w:rsidRPr="00D66461">
        <w:rPr>
          <w:bCs/>
          <w:color w:val="auto"/>
          <w:szCs w:val="20"/>
        </w:rPr>
        <w:t xml:space="preserve">Antes de qualquer aplicação, resgate ou movimentações financeiras ocorridas na carteira de investimentos do </w:t>
      </w:r>
      <w:r w:rsidR="00D66461" w:rsidRPr="00D66461">
        <w:rPr>
          <w:bCs/>
          <w:color w:val="auto"/>
          <w:szCs w:val="20"/>
        </w:rPr>
        <w:t xml:space="preserve">Instituto de Previdência dos Servidores Públicos do Município de Pitangueiras </w:t>
      </w:r>
      <w:r w:rsidR="00D66461">
        <w:rPr>
          <w:bCs/>
          <w:color w:val="auto"/>
          <w:szCs w:val="20"/>
        </w:rPr>
        <w:t>–</w:t>
      </w:r>
      <w:r w:rsidR="00D66461" w:rsidRPr="00D66461">
        <w:rPr>
          <w:bCs/>
          <w:color w:val="auto"/>
          <w:szCs w:val="20"/>
        </w:rPr>
        <w:t xml:space="preserve"> PITANPREV</w:t>
      </w:r>
      <w:r w:rsidRPr="00D66461">
        <w:rPr>
          <w:bCs/>
          <w:color w:val="auto"/>
          <w:szCs w:val="20"/>
        </w:rPr>
        <w:t xml:space="preserve">, os responsáveis pela gestão dos recursos deverão seguir todos os princípios e diretrizes envolvidos nos processos de aplicação dos </w:t>
      </w:r>
      <w:r w:rsidR="009918FE" w:rsidRPr="00D66461">
        <w:rPr>
          <w:bCs/>
          <w:color w:val="auto"/>
          <w:szCs w:val="20"/>
        </w:rPr>
        <w:t>recursos</w:t>
      </w:r>
      <w:r w:rsidRPr="00D66461">
        <w:rPr>
          <w:bCs/>
          <w:color w:val="auto"/>
          <w:szCs w:val="20"/>
        </w:rPr>
        <w:t>.</w:t>
      </w:r>
    </w:p>
    <w:p w14:paraId="19499DF0" w14:textId="5556031C" w:rsidR="00A22633" w:rsidRPr="00D66461" w:rsidRDefault="00A22633" w:rsidP="00C0622A">
      <w:pPr>
        <w:rPr>
          <w:bCs/>
          <w:color w:val="auto"/>
          <w:szCs w:val="20"/>
        </w:rPr>
      </w:pPr>
      <w:r w:rsidRPr="00D66461">
        <w:rPr>
          <w:bCs/>
          <w:color w:val="auto"/>
          <w:szCs w:val="20"/>
        </w:rPr>
        <w:t xml:space="preserve">O acompanhamento mensal do desempenho da carteira de investimentos em relação a </w:t>
      </w:r>
      <w:r w:rsidR="00130B80" w:rsidRPr="00D66461">
        <w:rPr>
          <w:bCs/>
          <w:color w:val="auto"/>
          <w:szCs w:val="20"/>
        </w:rPr>
        <w:t>Meta de Rentabilidade</w:t>
      </w:r>
      <w:r w:rsidRPr="00D66461">
        <w:rPr>
          <w:bCs/>
          <w:color w:val="auto"/>
          <w:szCs w:val="20"/>
        </w:rPr>
        <w:t xml:space="preserve"> definida, garantirá ações e medidas no curto</w:t>
      </w:r>
      <w:r w:rsidR="0005584C" w:rsidRPr="00D66461">
        <w:rPr>
          <w:bCs/>
          <w:color w:val="auto"/>
          <w:szCs w:val="20"/>
        </w:rPr>
        <w:t xml:space="preserve"> e </w:t>
      </w:r>
      <w:r w:rsidRPr="00D66461">
        <w:rPr>
          <w:bCs/>
          <w:color w:val="auto"/>
          <w:szCs w:val="20"/>
        </w:rPr>
        <w:t>médio prazo no equacionamento de quaisquer distorções decorrentes dos riscos a ela atrelados.</w:t>
      </w:r>
    </w:p>
    <w:p w14:paraId="383CC785" w14:textId="5E8B2C4B" w:rsidR="00A22633" w:rsidRPr="00D66461" w:rsidRDefault="00A22633" w:rsidP="00C0622A">
      <w:pPr>
        <w:rPr>
          <w:bCs/>
          <w:color w:val="auto"/>
          <w:szCs w:val="20"/>
        </w:rPr>
      </w:pPr>
      <w:r w:rsidRPr="00D66461">
        <w:rPr>
          <w:bCs/>
          <w:color w:val="auto"/>
          <w:szCs w:val="20"/>
        </w:rPr>
        <w:t>Com base nas determinações da Portaria MPS nº 170</w:t>
      </w:r>
      <w:r w:rsidR="00C528D0" w:rsidRPr="00D66461">
        <w:rPr>
          <w:bCs/>
          <w:color w:val="auto"/>
          <w:szCs w:val="20"/>
        </w:rPr>
        <w:t>/</w:t>
      </w:r>
      <w:r w:rsidRPr="00D66461">
        <w:rPr>
          <w:bCs/>
          <w:color w:val="auto"/>
          <w:szCs w:val="20"/>
        </w:rPr>
        <w:t>2012, alterada pela Portaria MPS nº 440</w:t>
      </w:r>
      <w:r w:rsidR="00C528D0" w:rsidRPr="00D66461">
        <w:rPr>
          <w:bCs/>
          <w:color w:val="auto"/>
          <w:szCs w:val="20"/>
        </w:rPr>
        <w:t>/</w:t>
      </w:r>
      <w:r w:rsidRPr="00D66461">
        <w:rPr>
          <w:bCs/>
          <w:color w:val="auto"/>
          <w:szCs w:val="20"/>
        </w:rPr>
        <w:t xml:space="preserve">2013, foi instituído o Comitê de Investimentos através do Ato Normativo </w:t>
      </w:r>
      <w:r w:rsidR="00B136BD">
        <w:rPr>
          <w:bCs/>
          <w:color w:val="auto"/>
          <w:szCs w:val="20"/>
        </w:rPr>
        <w:t>Decreto nº 3.908 de 31 de maio de 2017</w:t>
      </w:r>
      <w:r w:rsidRPr="00D66461">
        <w:rPr>
          <w:bCs/>
          <w:color w:val="auto"/>
          <w:szCs w:val="20"/>
        </w:rPr>
        <w:t>, com a finalidade mínima de participar no processo decisório quanto à formulação e execução da Política de Investimentos.</w:t>
      </w:r>
    </w:p>
    <w:p w14:paraId="1D97CFAE" w14:textId="19610C9D" w:rsidR="00EA6293" w:rsidRPr="00D66461" w:rsidRDefault="00EA6293" w:rsidP="00C0622A">
      <w:pPr>
        <w:rPr>
          <w:bCs/>
          <w:color w:val="auto"/>
          <w:szCs w:val="20"/>
        </w:rPr>
      </w:pPr>
      <w:r w:rsidRPr="00D66461">
        <w:rPr>
          <w:bCs/>
          <w:color w:val="auto"/>
          <w:szCs w:val="20"/>
        </w:rPr>
        <w:t>Suas ações são previamente aprovadas em Plano de Ação estipulado para o exercício corrente</w:t>
      </w:r>
      <w:r w:rsidR="00385CB9" w:rsidRPr="00D66461">
        <w:rPr>
          <w:bCs/>
          <w:color w:val="auto"/>
          <w:szCs w:val="20"/>
        </w:rPr>
        <w:t xml:space="preserve"> e seu controle será promovido pelo Gestor dos Recursos e Presidente do Comitê de Investimentos.</w:t>
      </w:r>
    </w:p>
    <w:p w14:paraId="53026FAA" w14:textId="77777777" w:rsidR="00C0622A" w:rsidRPr="00B136BD" w:rsidRDefault="00A22633" w:rsidP="00C0622A">
      <w:pPr>
        <w:rPr>
          <w:bCs/>
          <w:color w:val="auto"/>
          <w:szCs w:val="20"/>
        </w:rPr>
      </w:pPr>
      <w:r w:rsidRPr="00B136BD">
        <w:rPr>
          <w:bCs/>
          <w:color w:val="auto"/>
          <w:szCs w:val="20"/>
        </w:rPr>
        <w:t>Entende-se como participação no processo decisório quanto à formulação e execução da Política de Investimentos a abrangência de:</w:t>
      </w:r>
    </w:p>
    <w:p w14:paraId="6DC3C2B0" w14:textId="77777777" w:rsidR="00C0622A" w:rsidRPr="00B136BD" w:rsidRDefault="00A22633" w:rsidP="00C0622A">
      <w:pPr>
        <w:pStyle w:val="PargrafodaLista"/>
        <w:numPr>
          <w:ilvl w:val="0"/>
          <w:numId w:val="43"/>
        </w:numPr>
        <w:rPr>
          <w:bCs/>
          <w:color w:val="auto"/>
          <w:szCs w:val="20"/>
        </w:rPr>
      </w:pPr>
      <w:r w:rsidRPr="00B136BD">
        <w:rPr>
          <w:bCs/>
          <w:color w:val="auto"/>
          <w:szCs w:val="20"/>
        </w:rPr>
        <w:t xml:space="preserve">garantir o cumprimento </w:t>
      </w:r>
      <w:r w:rsidR="007B3F43" w:rsidRPr="00B136BD">
        <w:rPr>
          <w:bCs/>
          <w:color w:val="auto"/>
          <w:szCs w:val="20"/>
        </w:rPr>
        <w:t>das normativas vigentes;</w:t>
      </w:r>
    </w:p>
    <w:p w14:paraId="3ECD7F75" w14:textId="77777777" w:rsidR="00C0622A" w:rsidRPr="00B136BD" w:rsidRDefault="00C0622A" w:rsidP="00C0622A">
      <w:pPr>
        <w:pStyle w:val="PargrafodaLista"/>
        <w:rPr>
          <w:bCs/>
          <w:color w:val="auto"/>
          <w:szCs w:val="20"/>
        </w:rPr>
      </w:pPr>
    </w:p>
    <w:p w14:paraId="49F2C1CE" w14:textId="77777777" w:rsidR="00C0622A" w:rsidRPr="00B136BD" w:rsidRDefault="007B3F43" w:rsidP="00C0622A">
      <w:pPr>
        <w:pStyle w:val="PargrafodaLista"/>
        <w:numPr>
          <w:ilvl w:val="0"/>
          <w:numId w:val="43"/>
        </w:numPr>
        <w:rPr>
          <w:bCs/>
          <w:color w:val="auto"/>
          <w:szCs w:val="20"/>
        </w:rPr>
      </w:pPr>
      <w:r w:rsidRPr="00B136BD">
        <w:rPr>
          <w:bCs/>
          <w:color w:val="auto"/>
          <w:szCs w:val="20"/>
        </w:rPr>
        <w:t xml:space="preserve">garantir o cumprimento </w:t>
      </w:r>
      <w:r w:rsidR="00A22633" w:rsidRPr="00B136BD">
        <w:rPr>
          <w:bCs/>
          <w:color w:val="auto"/>
          <w:szCs w:val="20"/>
        </w:rPr>
        <w:t>da Política de Investimentos</w:t>
      </w:r>
      <w:r w:rsidRPr="00B136BD">
        <w:rPr>
          <w:bCs/>
          <w:color w:val="auto"/>
          <w:szCs w:val="20"/>
        </w:rPr>
        <w:t xml:space="preserve"> e suas revisões</w:t>
      </w:r>
      <w:r w:rsidR="00A22633" w:rsidRPr="00B136BD">
        <w:rPr>
          <w:bCs/>
          <w:color w:val="auto"/>
          <w:szCs w:val="20"/>
        </w:rPr>
        <w:t>;</w:t>
      </w:r>
    </w:p>
    <w:p w14:paraId="0101CB30" w14:textId="77777777" w:rsidR="00C0622A" w:rsidRPr="00B136BD" w:rsidRDefault="00C0622A" w:rsidP="00C0622A">
      <w:pPr>
        <w:pStyle w:val="PargrafodaLista"/>
        <w:rPr>
          <w:bCs/>
          <w:color w:val="auto"/>
          <w:szCs w:val="20"/>
        </w:rPr>
      </w:pPr>
    </w:p>
    <w:p w14:paraId="7CF1E851" w14:textId="4D8C4804" w:rsidR="00C0622A" w:rsidRPr="00B136BD" w:rsidRDefault="007B3F43" w:rsidP="00C0622A">
      <w:pPr>
        <w:pStyle w:val="PargrafodaLista"/>
        <w:numPr>
          <w:ilvl w:val="0"/>
          <w:numId w:val="43"/>
        </w:numPr>
        <w:rPr>
          <w:bCs/>
          <w:color w:val="auto"/>
          <w:szCs w:val="20"/>
        </w:rPr>
      </w:pPr>
      <w:r w:rsidRPr="00B136BD">
        <w:rPr>
          <w:bCs/>
          <w:color w:val="auto"/>
          <w:szCs w:val="20"/>
        </w:rPr>
        <w:t>garantir a</w:t>
      </w:r>
      <w:r w:rsidR="00A22633" w:rsidRPr="00B136BD">
        <w:rPr>
          <w:bCs/>
          <w:color w:val="auto"/>
          <w:szCs w:val="20"/>
        </w:rPr>
        <w:t xml:space="preserve"> adequação dos investimentos</w:t>
      </w:r>
      <w:r w:rsidRPr="00B136BD">
        <w:rPr>
          <w:bCs/>
          <w:color w:val="auto"/>
          <w:szCs w:val="20"/>
        </w:rPr>
        <w:t xml:space="preserve"> de acordo com o perfil do </w:t>
      </w:r>
      <w:r w:rsidR="00B136BD" w:rsidRPr="00D66461">
        <w:rPr>
          <w:bCs/>
          <w:color w:val="auto"/>
          <w:szCs w:val="20"/>
        </w:rPr>
        <w:t>Instituto de Previdência dos Servidores Públicos do Município de Pitangueiras - PITANPREV</w:t>
      </w:r>
      <w:r w:rsidR="00A22633" w:rsidRPr="00B136BD">
        <w:rPr>
          <w:bCs/>
          <w:color w:val="auto"/>
          <w:szCs w:val="20"/>
        </w:rPr>
        <w:t>;</w:t>
      </w:r>
    </w:p>
    <w:p w14:paraId="676A6D93" w14:textId="77777777" w:rsidR="00C0622A" w:rsidRPr="00C0622A" w:rsidRDefault="00C0622A" w:rsidP="00C0622A">
      <w:pPr>
        <w:pStyle w:val="PargrafodaLista"/>
        <w:rPr>
          <w:bCs/>
          <w:szCs w:val="20"/>
        </w:rPr>
      </w:pPr>
    </w:p>
    <w:p w14:paraId="37F4B038" w14:textId="77777777" w:rsidR="00C0622A" w:rsidRPr="00B136BD" w:rsidRDefault="00A22633" w:rsidP="00C0622A">
      <w:pPr>
        <w:pStyle w:val="PargrafodaLista"/>
        <w:numPr>
          <w:ilvl w:val="0"/>
          <w:numId w:val="43"/>
        </w:numPr>
        <w:rPr>
          <w:bCs/>
          <w:color w:val="auto"/>
          <w:szCs w:val="20"/>
        </w:rPr>
      </w:pPr>
      <w:r w:rsidRPr="00B136BD">
        <w:rPr>
          <w:bCs/>
          <w:color w:val="auto"/>
          <w:szCs w:val="20"/>
        </w:rPr>
        <w:t>monitorar o grau de risco dos investimentos;</w:t>
      </w:r>
    </w:p>
    <w:p w14:paraId="41191B27" w14:textId="77777777" w:rsidR="00C0622A" w:rsidRPr="00B136BD" w:rsidRDefault="00C0622A" w:rsidP="00C0622A">
      <w:pPr>
        <w:pStyle w:val="PargrafodaLista"/>
        <w:rPr>
          <w:bCs/>
          <w:color w:val="auto"/>
          <w:szCs w:val="20"/>
        </w:rPr>
      </w:pPr>
    </w:p>
    <w:p w14:paraId="186DE1E3" w14:textId="77777777" w:rsidR="00C0622A" w:rsidRPr="00B136BD" w:rsidRDefault="00A22633" w:rsidP="00C0622A">
      <w:pPr>
        <w:pStyle w:val="PargrafodaLista"/>
        <w:numPr>
          <w:ilvl w:val="0"/>
          <w:numId w:val="43"/>
        </w:numPr>
        <w:rPr>
          <w:bCs/>
          <w:color w:val="auto"/>
          <w:szCs w:val="20"/>
        </w:rPr>
      </w:pPr>
      <w:r w:rsidRPr="00B136BD">
        <w:rPr>
          <w:bCs/>
          <w:color w:val="auto"/>
          <w:szCs w:val="20"/>
        </w:rPr>
        <w:t xml:space="preserve">observar que </w:t>
      </w:r>
      <w:r w:rsidR="00FE0CD7" w:rsidRPr="00B136BD">
        <w:rPr>
          <w:bCs/>
          <w:color w:val="auto"/>
          <w:szCs w:val="20"/>
        </w:rPr>
        <w:t>a rentabilidade dos recursos esteja</w:t>
      </w:r>
      <w:r w:rsidRPr="00B136BD">
        <w:rPr>
          <w:bCs/>
          <w:color w:val="auto"/>
          <w:szCs w:val="20"/>
        </w:rPr>
        <w:t xml:space="preserve"> de acordo com o nível de risco assumido;</w:t>
      </w:r>
    </w:p>
    <w:p w14:paraId="4A7F87E6" w14:textId="77777777" w:rsidR="00C0622A" w:rsidRPr="00B136BD" w:rsidRDefault="00C0622A" w:rsidP="00C0622A">
      <w:pPr>
        <w:pStyle w:val="PargrafodaLista"/>
        <w:rPr>
          <w:bCs/>
          <w:color w:val="auto"/>
          <w:szCs w:val="20"/>
        </w:rPr>
      </w:pPr>
    </w:p>
    <w:p w14:paraId="18CC5A5C" w14:textId="77777777" w:rsidR="00C0622A" w:rsidRPr="00B136BD" w:rsidRDefault="00A22633" w:rsidP="00C0622A">
      <w:pPr>
        <w:pStyle w:val="PargrafodaLista"/>
        <w:numPr>
          <w:ilvl w:val="0"/>
          <w:numId w:val="43"/>
        </w:numPr>
        <w:rPr>
          <w:bCs/>
          <w:color w:val="auto"/>
          <w:szCs w:val="20"/>
        </w:rPr>
      </w:pPr>
      <w:r w:rsidRPr="00B136BD">
        <w:rPr>
          <w:bCs/>
          <w:color w:val="auto"/>
          <w:szCs w:val="20"/>
        </w:rPr>
        <w:t>garantir a gestão ética e transparente dos recursos;</w:t>
      </w:r>
    </w:p>
    <w:p w14:paraId="72B34C7E" w14:textId="77777777" w:rsidR="00C0622A" w:rsidRPr="00B136BD" w:rsidRDefault="00C0622A" w:rsidP="00C0622A">
      <w:pPr>
        <w:pStyle w:val="PargrafodaLista"/>
        <w:rPr>
          <w:bCs/>
          <w:color w:val="auto"/>
          <w:szCs w:val="20"/>
        </w:rPr>
      </w:pPr>
    </w:p>
    <w:p w14:paraId="700D4AFF" w14:textId="77777777" w:rsidR="00C0622A" w:rsidRPr="00B136BD" w:rsidRDefault="00A22633" w:rsidP="00C0622A">
      <w:pPr>
        <w:pStyle w:val="PargrafodaLista"/>
        <w:numPr>
          <w:ilvl w:val="0"/>
          <w:numId w:val="43"/>
        </w:numPr>
        <w:rPr>
          <w:bCs/>
          <w:color w:val="auto"/>
          <w:szCs w:val="20"/>
        </w:rPr>
      </w:pPr>
      <w:r w:rsidRPr="00B136BD">
        <w:rPr>
          <w:bCs/>
          <w:color w:val="auto"/>
          <w:szCs w:val="20"/>
        </w:rPr>
        <w:t xml:space="preserve">garantir a execução dos processos internos voltados para </w:t>
      </w:r>
      <w:r w:rsidR="007B3F43" w:rsidRPr="00B136BD">
        <w:rPr>
          <w:bCs/>
          <w:color w:val="auto"/>
          <w:szCs w:val="20"/>
        </w:rPr>
        <w:t xml:space="preserve">área de </w:t>
      </w:r>
      <w:r w:rsidRPr="00B136BD">
        <w:rPr>
          <w:bCs/>
          <w:color w:val="auto"/>
          <w:szCs w:val="20"/>
        </w:rPr>
        <w:t>investimentos;</w:t>
      </w:r>
    </w:p>
    <w:p w14:paraId="49031E89" w14:textId="77777777" w:rsidR="00C0622A" w:rsidRPr="00B136BD" w:rsidRDefault="00C0622A" w:rsidP="00C0622A">
      <w:pPr>
        <w:pStyle w:val="PargrafodaLista"/>
        <w:rPr>
          <w:bCs/>
          <w:color w:val="auto"/>
          <w:szCs w:val="20"/>
        </w:rPr>
      </w:pPr>
    </w:p>
    <w:p w14:paraId="46B896D8" w14:textId="77777777" w:rsidR="00C0622A" w:rsidRPr="00B136BD" w:rsidRDefault="00A22633" w:rsidP="00C0622A">
      <w:pPr>
        <w:pStyle w:val="PargrafodaLista"/>
        <w:numPr>
          <w:ilvl w:val="0"/>
          <w:numId w:val="43"/>
        </w:numPr>
        <w:rPr>
          <w:bCs/>
          <w:color w:val="auto"/>
          <w:szCs w:val="20"/>
        </w:rPr>
      </w:pPr>
      <w:r w:rsidRPr="00B136BD">
        <w:rPr>
          <w:bCs/>
          <w:color w:val="auto"/>
          <w:szCs w:val="20"/>
        </w:rPr>
        <w:t xml:space="preserve">instaurar sindicância no âmbito dos </w:t>
      </w:r>
      <w:r w:rsidR="007B3F43" w:rsidRPr="00B136BD">
        <w:rPr>
          <w:bCs/>
          <w:color w:val="auto"/>
          <w:szCs w:val="20"/>
        </w:rPr>
        <w:t>investimentos e processos de investimentos s</w:t>
      </w:r>
      <w:r w:rsidRPr="00B136BD">
        <w:rPr>
          <w:bCs/>
          <w:color w:val="auto"/>
          <w:szCs w:val="20"/>
        </w:rPr>
        <w:t>e assim houver a necessidade;</w:t>
      </w:r>
    </w:p>
    <w:p w14:paraId="327FA9B9" w14:textId="77777777" w:rsidR="00C0622A" w:rsidRPr="00B136BD" w:rsidRDefault="00C0622A" w:rsidP="00C0622A">
      <w:pPr>
        <w:pStyle w:val="PargrafodaLista"/>
        <w:rPr>
          <w:bCs/>
          <w:color w:val="auto"/>
          <w:szCs w:val="20"/>
        </w:rPr>
      </w:pPr>
    </w:p>
    <w:p w14:paraId="21E68D29" w14:textId="77777777" w:rsidR="00C0622A" w:rsidRPr="00B136BD" w:rsidRDefault="007B3F43" w:rsidP="00C0622A">
      <w:pPr>
        <w:pStyle w:val="PargrafodaLista"/>
        <w:numPr>
          <w:ilvl w:val="0"/>
          <w:numId w:val="43"/>
        </w:numPr>
        <w:rPr>
          <w:bCs/>
          <w:color w:val="auto"/>
          <w:szCs w:val="20"/>
        </w:rPr>
      </w:pPr>
      <w:r w:rsidRPr="00B136BD">
        <w:rPr>
          <w:bCs/>
          <w:color w:val="auto"/>
          <w:szCs w:val="20"/>
        </w:rPr>
        <w:t>executar plano de contingência no âmbito dos investimentos conforme definido em Política de Investimentos se assim houver a necessidade;</w:t>
      </w:r>
    </w:p>
    <w:p w14:paraId="24C23078" w14:textId="77777777" w:rsidR="00C0622A" w:rsidRPr="00B136BD" w:rsidRDefault="00C0622A" w:rsidP="00C0622A">
      <w:pPr>
        <w:pStyle w:val="PargrafodaLista"/>
        <w:rPr>
          <w:bCs/>
          <w:color w:val="auto"/>
          <w:szCs w:val="20"/>
        </w:rPr>
      </w:pPr>
    </w:p>
    <w:p w14:paraId="5595672F" w14:textId="77777777" w:rsidR="00C0622A" w:rsidRPr="00B136BD" w:rsidRDefault="00A22633" w:rsidP="00C0622A">
      <w:pPr>
        <w:pStyle w:val="PargrafodaLista"/>
        <w:numPr>
          <w:ilvl w:val="0"/>
          <w:numId w:val="43"/>
        </w:numPr>
        <w:rPr>
          <w:bCs/>
          <w:color w:val="auto"/>
          <w:szCs w:val="20"/>
        </w:rPr>
      </w:pPr>
      <w:r w:rsidRPr="00B136BD">
        <w:rPr>
          <w:bCs/>
          <w:color w:val="auto"/>
          <w:szCs w:val="20"/>
        </w:rPr>
        <w:t>garantir a execução, o cumprimento e acompanhamento do Credenciamento da Instituições Financeiras;</w:t>
      </w:r>
    </w:p>
    <w:p w14:paraId="5FA464E4" w14:textId="77777777" w:rsidR="00C0622A" w:rsidRPr="00B136BD" w:rsidRDefault="00C0622A" w:rsidP="00C0622A">
      <w:pPr>
        <w:pStyle w:val="PargrafodaLista"/>
        <w:rPr>
          <w:bCs/>
          <w:color w:val="auto"/>
          <w:szCs w:val="20"/>
        </w:rPr>
      </w:pPr>
    </w:p>
    <w:p w14:paraId="700CB3A0" w14:textId="77777777" w:rsidR="0000430A" w:rsidRPr="00B136BD" w:rsidRDefault="00A22633" w:rsidP="00C0622A">
      <w:pPr>
        <w:pStyle w:val="PargrafodaLista"/>
        <w:numPr>
          <w:ilvl w:val="0"/>
          <w:numId w:val="43"/>
        </w:numPr>
        <w:rPr>
          <w:bCs/>
          <w:color w:val="auto"/>
          <w:szCs w:val="20"/>
        </w:rPr>
      </w:pPr>
      <w:r w:rsidRPr="00B136BD">
        <w:rPr>
          <w:bCs/>
          <w:color w:val="auto"/>
          <w:szCs w:val="20"/>
        </w:rPr>
        <w:t xml:space="preserve">garantir que </w:t>
      </w:r>
      <w:r w:rsidR="007B3F43" w:rsidRPr="00B136BD">
        <w:rPr>
          <w:bCs/>
          <w:color w:val="auto"/>
          <w:szCs w:val="20"/>
        </w:rPr>
        <w:t>a Alocação Estratégica</w:t>
      </w:r>
      <w:r w:rsidRPr="00B136BD">
        <w:rPr>
          <w:bCs/>
          <w:color w:val="auto"/>
          <w:szCs w:val="20"/>
        </w:rPr>
        <w:t xml:space="preserve"> esteja em consonância com os estudos técnicos que nortearam o equilíbrio atuarial e financeiro e</w:t>
      </w:r>
    </w:p>
    <w:p w14:paraId="3253F198" w14:textId="77777777" w:rsidR="0000430A" w:rsidRPr="00B136BD" w:rsidRDefault="0000430A" w:rsidP="0000430A">
      <w:pPr>
        <w:pStyle w:val="PargrafodaLista"/>
        <w:rPr>
          <w:bCs/>
          <w:color w:val="auto"/>
          <w:szCs w:val="20"/>
        </w:rPr>
      </w:pPr>
    </w:p>
    <w:p w14:paraId="1FEB3600" w14:textId="40DCC209" w:rsidR="00A22633" w:rsidRPr="00B136BD" w:rsidRDefault="00A22633" w:rsidP="00C0622A">
      <w:pPr>
        <w:pStyle w:val="PargrafodaLista"/>
        <w:numPr>
          <w:ilvl w:val="0"/>
          <w:numId w:val="43"/>
        </w:numPr>
        <w:rPr>
          <w:bCs/>
          <w:color w:val="auto"/>
          <w:szCs w:val="20"/>
        </w:rPr>
      </w:pPr>
      <w:r w:rsidRPr="00B136BD">
        <w:rPr>
          <w:bCs/>
          <w:color w:val="auto"/>
          <w:szCs w:val="20"/>
        </w:rPr>
        <w:t xml:space="preserve">qualquer outra atividade relacionada diretamente a </w:t>
      </w:r>
      <w:r w:rsidR="007B3F43" w:rsidRPr="00B136BD">
        <w:rPr>
          <w:bCs/>
          <w:color w:val="auto"/>
          <w:szCs w:val="20"/>
        </w:rPr>
        <w:t xml:space="preserve">área de </w:t>
      </w:r>
      <w:r w:rsidRPr="00B136BD">
        <w:rPr>
          <w:bCs/>
          <w:color w:val="auto"/>
          <w:szCs w:val="20"/>
        </w:rPr>
        <w:t>investimentos.</w:t>
      </w:r>
    </w:p>
    <w:p w14:paraId="1D835B72" w14:textId="6E87B106" w:rsidR="00A22633" w:rsidRPr="00B136BD" w:rsidRDefault="00A22633" w:rsidP="00C0622A">
      <w:pPr>
        <w:rPr>
          <w:bCs/>
          <w:color w:val="auto"/>
          <w:szCs w:val="20"/>
        </w:rPr>
      </w:pPr>
      <w:r w:rsidRPr="00B136BD">
        <w:rPr>
          <w:bCs/>
          <w:color w:val="auto"/>
          <w:szCs w:val="20"/>
        </w:rPr>
        <w:t>Todo o acompanhamento promovido pelo Comitê de Investimentos será designado em formato de relatório</w:t>
      </w:r>
      <w:r w:rsidR="007B3F43" w:rsidRPr="00B136BD">
        <w:rPr>
          <w:bCs/>
          <w:color w:val="auto"/>
          <w:szCs w:val="20"/>
        </w:rPr>
        <w:t xml:space="preserve"> e/ou parecer</w:t>
      </w:r>
      <w:r w:rsidRPr="00B136BD">
        <w:rPr>
          <w:bCs/>
          <w:color w:val="auto"/>
          <w:szCs w:val="20"/>
        </w:rPr>
        <w:t xml:space="preserve">, sendo disponibilizado para apreciação, análise, contestação e aprovação por parte do Conselho de Deliberação. Sua periodicidade se adequada ao porte do </w:t>
      </w:r>
      <w:r w:rsidR="00B136BD" w:rsidRPr="00D66461">
        <w:rPr>
          <w:bCs/>
          <w:color w:val="auto"/>
          <w:szCs w:val="20"/>
        </w:rPr>
        <w:t>Instituto de Previdência dos Servidores Públicos do Município de Pitangueiras - PITANPREV</w:t>
      </w:r>
      <w:r w:rsidRPr="00B136BD">
        <w:rPr>
          <w:bCs/>
          <w:color w:val="auto"/>
          <w:szCs w:val="20"/>
        </w:rPr>
        <w:t>.</w:t>
      </w:r>
    </w:p>
    <w:p w14:paraId="494C4596" w14:textId="006CB76D" w:rsidR="00A22633" w:rsidRPr="00B136BD" w:rsidRDefault="00A22633" w:rsidP="00C0622A">
      <w:pPr>
        <w:rPr>
          <w:bCs/>
          <w:color w:val="auto"/>
          <w:szCs w:val="20"/>
        </w:rPr>
      </w:pPr>
      <w:r w:rsidRPr="00B136BD">
        <w:rPr>
          <w:bCs/>
          <w:color w:val="auto"/>
          <w:szCs w:val="20"/>
        </w:rPr>
        <w:t xml:space="preserve">Os relatórios </w:t>
      </w:r>
      <w:r w:rsidR="007B3F43" w:rsidRPr="00B136BD">
        <w:rPr>
          <w:bCs/>
          <w:color w:val="auto"/>
          <w:szCs w:val="20"/>
        </w:rPr>
        <w:t xml:space="preserve">e/ou pareceres </w:t>
      </w:r>
      <w:r w:rsidRPr="00B136BD">
        <w:rPr>
          <w:bCs/>
          <w:color w:val="auto"/>
          <w:szCs w:val="20"/>
        </w:rPr>
        <w:t xml:space="preserve">supracitados serão mantidos e colocados à </w:t>
      </w:r>
      <w:r w:rsidR="00A2054C" w:rsidRPr="00B136BD">
        <w:rPr>
          <w:bCs/>
          <w:color w:val="auto"/>
          <w:szCs w:val="20"/>
        </w:rPr>
        <w:t>disposição do</w:t>
      </w:r>
      <w:r w:rsidR="0026139D" w:rsidRPr="00B136BD">
        <w:rPr>
          <w:bCs/>
          <w:color w:val="auto"/>
          <w:szCs w:val="20"/>
        </w:rPr>
        <w:t xml:space="preserve"> Ministério da </w:t>
      </w:r>
      <w:r w:rsidRPr="00B136BD">
        <w:rPr>
          <w:bCs/>
          <w:color w:val="auto"/>
          <w:szCs w:val="20"/>
        </w:rPr>
        <w:t xml:space="preserve">Secretária da </w:t>
      </w:r>
      <w:r w:rsidR="00B136BD" w:rsidRPr="00B136BD">
        <w:rPr>
          <w:bCs/>
          <w:color w:val="auto"/>
          <w:szCs w:val="20"/>
        </w:rPr>
        <w:t>Previdência</w:t>
      </w:r>
      <w:r w:rsidRPr="00B136BD">
        <w:rPr>
          <w:bCs/>
          <w:color w:val="auto"/>
          <w:szCs w:val="20"/>
        </w:rPr>
        <w:t xml:space="preserve"> </w:t>
      </w:r>
      <w:r w:rsidR="0026139D" w:rsidRPr="00B136BD">
        <w:rPr>
          <w:bCs/>
          <w:color w:val="auto"/>
          <w:szCs w:val="20"/>
        </w:rPr>
        <w:t xml:space="preserve">e Trabalho, Secretaria de Previdência </w:t>
      </w:r>
      <w:r w:rsidRPr="00B136BD">
        <w:rPr>
          <w:bCs/>
          <w:color w:val="auto"/>
          <w:szCs w:val="20"/>
        </w:rPr>
        <w:t>Social - SPREV, Tribunal de Contas do Estado, Conselho Fiscal</w:t>
      </w:r>
      <w:r w:rsidR="0026139D" w:rsidRPr="00B136BD">
        <w:rPr>
          <w:bCs/>
          <w:color w:val="auto"/>
          <w:szCs w:val="20"/>
        </w:rPr>
        <w:t>, Controle Interno</w:t>
      </w:r>
      <w:r w:rsidRPr="00B136BD">
        <w:rPr>
          <w:bCs/>
          <w:color w:val="auto"/>
          <w:szCs w:val="20"/>
        </w:rPr>
        <w:t xml:space="preserve"> e demais órgãos fiscalizadores e interessados.</w:t>
      </w:r>
      <w:bookmarkStart w:id="119" w:name="_Toc490036564"/>
    </w:p>
    <w:p w14:paraId="0E9BB3E2" w14:textId="77777777" w:rsidR="006B0FB7" w:rsidRPr="00B136BD" w:rsidRDefault="006B0FB7" w:rsidP="0000430A">
      <w:pPr>
        <w:pStyle w:val="Ttulo1"/>
        <w:spacing w:before="360"/>
        <w:rPr>
          <w:color w:val="auto"/>
        </w:rPr>
      </w:pPr>
      <w:bookmarkStart w:id="120" w:name="_Toc90997509"/>
      <w:r w:rsidRPr="00B136BD">
        <w:rPr>
          <w:color w:val="auto"/>
        </w:rPr>
        <w:t>DISPOSIÇÕES GERAIS</w:t>
      </w:r>
      <w:bookmarkEnd w:id="119"/>
      <w:bookmarkEnd w:id="120"/>
    </w:p>
    <w:p w14:paraId="06509309" w14:textId="287C1402" w:rsidR="006B0FB7" w:rsidRPr="00B136BD" w:rsidRDefault="006B0FB7" w:rsidP="0000430A">
      <w:pPr>
        <w:rPr>
          <w:bCs/>
          <w:color w:val="auto"/>
          <w:szCs w:val="20"/>
        </w:rPr>
      </w:pPr>
      <w:r w:rsidRPr="00B136BD">
        <w:rPr>
          <w:bCs/>
          <w:color w:val="auto"/>
          <w:szCs w:val="20"/>
        </w:rPr>
        <w:t xml:space="preserve">A presente Política de Investimentos poderá ser revista no curso de sua execução e </w:t>
      </w:r>
      <w:r w:rsidR="00497B8F" w:rsidRPr="00B136BD">
        <w:rPr>
          <w:bCs/>
          <w:color w:val="auto"/>
          <w:szCs w:val="20"/>
        </w:rPr>
        <w:t xml:space="preserve">deverá ser </w:t>
      </w:r>
      <w:r w:rsidRPr="00B136BD">
        <w:rPr>
          <w:bCs/>
          <w:color w:val="auto"/>
          <w:szCs w:val="20"/>
        </w:rPr>
        <w:t xml:space="preserve">monitorada no curto prazo, a contar da data de sua aprovação pelo órgão superior competente do </w:t>
      </w:r>
      <w:r w:rsidR="00B136BD" w:rsidRPr="00D66461">
        <w:rPr>
          <w:bCs/>
          <w:color w:val="auto"/>
          <w:szCs w:val="20"/>
        </w:rPr>
        <w:t>Instituto de Previdência dos Servidores Públicos do Município de Pitangueiras - PITANPREV</w:t>
      </w:r>
      <w:r w:rsidRPr="00B136BD">
        <w:rPr>
          <w:bCs/>
          <w:color w:val="auto"/>
          <w:szCs w:val="20"/>
        </w:rPr>
        <w:t xml:space="preserve">, sendo que o prazo de validade compreenderá </w:t>
      </w:r>
      <w:r w:rsidR="00042680" w:rsidRPr="00B136BD">
        <w:rPr>
          <w:bCs/>
          <w:color w:val="auto"/>
          <w:szCs w:val="20"/>
        </w:rPr>
        <w:t>apenas o</w:t>
      </w:r>
      <w:r w:rsidRPr="00B136BD">
        <w:rPr>
          <w:bCs/>
          <w:color w:val="auto"/>
          <w:szCs w:val="20"/>
        </w:rPr>
        <w:t xml:space="preserve"> ano de </w:t>
      </w:r>
      <w:r w:rsidR="00CB3977" w:rsidRPr="00B136BD">
        <w:rPr>
          <w:bCs/>
          <w:color w:val="auto"/>
          <w:szCs w:val="20"/>
        </w:rPr>
        <w:t>20</w:t>
      </w:r>
      <w:r w:rsidR="00974AD8" w:rsidRPr="00B136BD">
        <w:rPr>
          <w:bCs/>
          <w:color w:val="auto"/>
          <w:szCs w:val="20"/>
        </w:rPr>
        <w:t>2</w:t>
      </w:r>
      <w:r w:rsidR="007A1214" w:rsidRPr="00B136BD">
        <w:rPr>
          <w:bCs/>
          <w:color w:val="auto"/>
          <w:szCs w:val="20"/>
        </w:rPr>
        <w:t>2</w:t>
      </w:r>
      <w:r w:rsidRPr="00B136BD">
        <w:rPr>
          <w:bCs/>
          <w:color w:val="auto"/>
          <w:szCs w:val="20"/>
        </w:rPr>
        <w:t>.</w:t>
      </w:r>
    </w:p>
    <w:p w14:paraId="5C258102" w14:textId="2C60F65C" w:rsidR="006B0FB7" w:rsidRPr="00B136BD" w:rsidRDefault="006B0FB7" w:rsidP="0000430A">
      <w:pPr>
        <w:rPr>
          <w:bCs/>
          <w:color w:val="auto"/>
          <w:szCs w:val="20"/>
        </w:rPr>
      </w:pPr>
      <w:r w:rsidRPr="00B136BD">
        <w:rPr>
          <w:bCs/>
          <w:color w:val="auto"/>
          <w:szCs w:val="20"/>
        </w:rPr>
        <w:t xml:space="preserve">Reuniões extraordinárias </w:t>
      </w:r>
      <w:r w:rsidR="007B3F43" w:rsidRPr="00B136BD">
        <w:rPr>
          <w:bCs/>
          <w:color w:val="auto"/>
          <w:szCs w:val="20"/>
        </w:rPr>
        <w:t xml:space="preserve">promovidas pelo </w:t>
      </w:r>
      <w:r w:rsidR="00497B8F" w:rsidRPr="00B136BD">
        <w:rPr>
          <w:bCs/>
          <w:color w:val="auto"/>
          <w:szCs w:val="20"/>
        </w:rPr>
        <w:t xml:space="preserve">Comitê de Investimentos e posteriormente com </w:t>
      </w:r>
      <w:r w:rsidRPr="00B136BD">
        <w:rPr>
          <w:bCs/>
          <w:color w:val="auto"/>
          <w:szCs w:val="20"/>
        </w:rPr>
        <w:t xml:space="preserve">Conselho </w:t>
      </w:r>
      <w:r w:rsidR="00497B8F" w:rsidRPr="00B136BD">
        <w:rPr>
          <w:bCs/>
          <w:color w:val="auto"/>
          <w:szCs w:val="20"/>
        </w:rPr>
        <w:t xml:space="preserve">Deliberativo </w:t>
      </w:r>
      <w:r w:rsidRPr="00B136BD">
        <w:rPr>
          <w:bCs/>
          <w:color w:val="auto"/>
          <w:szCs w:val="20"/>
        </w:rPr>
        <w:t>do</w:t>
      </w:r>
      <w:r w:rsidR="00CC4CDE" w:rsidRPr="00B136BD">
        <w:rPr>
          <w:bCs/>
          <w:color w:val="auto"/>
          <w:szCs w:val="20"/>
        </w:rPr>
        <w:t xml:space="preserve"> </w:t>
      </w:r>
      <w:r w:rsidR="00B136BD" w:rsidRPr="00D66461">
        <w:rPr>
          <w:bCs/>
          <w:color w:val="auto"/>
          <w:szCs w:val="20"/>
        </w:rPr>
        <w:t xml:space="preserve">Instituto de Previdência dos Servidores Públicos do Município de Pitangueiras </w:t>
      </w:r>
      <w:r w:rsidR="00B136BD">
        <w:rPr>
          <w:bCs/>
          <w:color w:val="auto"/>
          <w:szCs w:val="20"/>
        </w:rPr>
        <w:t>–</w:t>
      </w:r>
      <w:r w:rsidR="00B136BD" w:rsidRPr="00D66461">
        <w:rPr>
          <w:bCs/>
          <w:color w:val="auto"/>
          <w:szCs w:val="20"/>
        </w:rPr>
        <w:t xml:space="preserve"> PITANPREV</w:t>
      </w:r>
      <w:r w:rsidR="00497B8F" w:rsidRPr="00B136BD">
        <w:rPr>
          <w:bCs/>
          <w:color w:val="auto"/>
          <w:szCs w:val="20"/>
        </w:rPr>
        <w:t>,</w:t>
      </w:r>
      <w:r w:rsidRPr="00B136BD">
        <w:rPr>
          <w:bCs/>
          <w:color w:val="auto"/>
          <w:szCs w:val="20"/>
        </w:rPr>
        <w:t xml:space="preserve"> serão realizadas sempre que houver necessidade de ajustes nesta </w:t>
      </w:r>
      <w:r w:rsidR="00974AD8" w:rsidRPr="00B136BD">
        <w:rPr>
          <w:bCs/>
          <w:color w:val="auto"/>
          <w:szCs w:val="20"/>
        </w:rPr>
        <w:t>P</w:t>
      </w:r>
      <w:r w:rsidRPr="00B136BD">
        <w:rPr>
          <w:bCs/>
          <w:color w:val="auto"/>
          <w:szCs w:val="20"/>
        </w:rPr>
        <w:t xml:space="preserve">olítica de </w:t>
      </w:r>
      <w:r w:rsidR="00974AD8" w:rsidRPr="00B136BD">
        <w:rPr>
          <w:bCs/>
          <w:color w:val="auto"/>
          <w:szCs w:val="20"/>
        </w:rPr>
        <w:t>I</w:t>
      </w:r>
      <w:r w:rsidRPr="00B136BD">
        <w:rPr>
          <w:bCs/>
          <w:color w:val="auto"/>
          <w:szCs w:val="20"/>
        </w:rPr>
        <w:t>nvestimentos perante o comportamento/conjuntura do mercado, quando se apresentar o interesse da preservação dos ativos financeiros e/ou com vistas à adequação à nova legislação.</w:t>
      </w:r>
    </w:p>
    <w:p w14:paraId="2D65C711" w14:textId="1B19B022" w:rsidR="00F11AB6" w:rsidRPr="00B136BD" w:rsidRDefault="007B3F43" w:rsidP="0000430A">
      <w:pPr>
        <w:rPr>
          <w:bCs/>
          <w:color w:val="auto"/>
          <w:szCs w:val="20"/>
        </w:rPr>
      </w:pPr>
      <w:r w:rsidRPr="00B136BD">
        <w:rPr>
          <w:bCs/>
          <w:color w:val="auto"/>
          <w:szCs w:val="20"/>
        </w:rPr>
        <w:t>A</w:t>
      </w:r>
      <w:r w:rsidR="00F11AB6" w:rsidRPr="00B136BD">
        <w:rPr>
          <w:bCs/>
          <w:color w:val="auto"/>
          <w:szCs w:val="20"/>
        </w:rPr>
        <w:t xml:space="preserve"> Política de Investimentos e suas possíveis revisões</w:t>
      </w:r>
      <w:r w:rsidR="00CB57B4" w:rsidRPr="00B136BD">
        <w:rPr>
          <w:bCs/>
          <w:color w:val="auto"/>
          <w:szCs w:val="20"/>
        </w:rPr>
        <w:t>;</w:t>
      </w:r>
      <w:r w:rsidR="00F11AB6" w:rsidRPr="00B136BD">
        <w:rPr>
          <w:bCs/>
          <w:color w:val="auto"/>
          <w:szCs w:val="20"/>
        </w:rPr>
        <w:t xml:space="preserve"> a documentação que os fundamenta, bem como as aprovações exigidas</w:t>
      </w:r>
      <w:r w:rsidRPr="00B136BD">
        <w:rPr>
          <w:bCs/>
          <w:color w:val="auto"/>
          <w:szCs w:val="20"/>
        </w:rPr>
        <w:t>,</w:t>
      </w:r>
      <w:r w:rsidR="00F11AB6" w:rsidRPr="00B136BD">
        <w:rPr>
          <w:bCs/>
          <w:color w:val="auto"/>
          <w:szCs w:val="20"/>
        </w:rPr>
        <w:t xml:space="preserve"> </w:t>
      </w:r>
      <w:r w:rsidR="005834DC" w:rsidRPr="00B136BD">
        <w:rPr>
          <w:bCs/>
          <w:color w:val="auto"/>
          <w:szCs w:val="20"/>
        </w:rPr>
        <w:t xml:space="preserve">permanecerão </w:t>
      </w:r>
      <w:r w:rsidR="00F11AB6" w:rsidRPr="00B136BD">
        <w:rPr>
          <w:bCs/>
          <w:color w:val="auto"/>
          <w:szCs w:val="20"/>
        </w:rPr>
        <w:t>à disposição dos órgãos de acompanhamento, supervisão e fiscalização pelo prazo de 10 (dez) anos.</w:t>
      </w:r>
    </w:p>
    <w:p w14:paraId="25D3012B" w14:textId="5BE55AA9" w:rsidR="006B0FB7" w:rsidRPr="00B136BD" w:rsidRDefault="006B0FB7" w:rsidP="0000430A">
      <w:pPr>
        <w:rPr>
          <w:bCs/>
          <w:color w:val="auto"/>
          <w:szCs w:val="20"/>
        </w:rPr>
      </w:pPr>
      <w:r w:rsidRPr="00B136BD">
        <w:rPr>
          <w:bCs/>
          <w:color w:val="auto"/>
          <w:szCs w:val="20"/>
        </w:rPr>
        <w:lastRenderedPageBreak/>
        <w:t xml:space="preserve">Deverão estar certificados os responsáveis pelo acompanhamento e operacionalização dos investimentos do </w:t>
      </w:r>
      <w:r w:rsidR="00B136BD" w:rsidRPr="00D66461">
        <w:rPr>
          <w:bCs/>
          <w:color w:val="auto"/>
          <w:szCs w:val="20"/>
        </w:rPr>
        <w:t>Instituto de Previdência dos Servidores Públicos do Município de Pitangueiras - PITANPREV</w:t>
      </w:r>
      <w:r w:rsidRPr="00B136BD">
        <w:rPr>
          <w:bCs/>
          <w:color w:val="auto"/>
          <w:szCs w:val="20"/>
        </w:rPr>
        <w:t>, através de exame de certificação organizado por entidade autônoma de reconhecida capacidade técnica e difusão no mercado brasileiro de capitais, cujo conteúdo abrangerá, no mínimo, o contido no anexo a Portaria MPAS nº 519</w:t>
      </w:r>
      <w:r w:rsidR="00944DA8" w:rsidRPr="00B136BD">
        <w:rPr>
          <w:bCs/>
          <w:color w:val="auto"/>
          <w:szCs w:val="20"/>
        </w:rPr>
        <w:t>/</w:t>
      </w:r>
      <w:r w:rsidRPr="00B136BD">
        <w:rPr>
          <w:bCs/>
          <w:color w:val="auto"/>
          <w:szCs w:val="20"/>
        </w:rPr>
        <w:t xml:space="preserve">2011. </w:t>
      </w:r>
    </w:p>
    <w:p w14:paraId="2AE0A77D" w14:textId="77777777" w:rsidR="006B0FB7" w:rsidRPr="00B136BD" w:rsidRDefault="006B0FB7" w:rsidP="0000430A">
      <w:pPr>
        <w:rPr>
          <w:bCs/>
          <w:color w:val="auto"/>
          <w:szCs w:val="20"/>
        </w:rPr>
      </w:pPr>
      <w:r w:rsidRPr="00B136BD">
        <w:rPr>
          <w:bCs/>
          <w:color w:val="auto"/>
          <w:szCs w:val="20"/>
        </w:rPr>
        <w:t xml:space="preserve">A comprovação da habilitação ocorrerá mediante o preenchimento dos campos específicos constantes do Demonstrativo da Política de Investimentos - DPIN e do Demonstrativo de Aplicações e Investimentos dos Recursos - DAIR. </w:t>
      </w:r>
    </w:p>
    <w:p w14:paraId="07862A39" w14:textId="460BB470" w:rsidR="006B0FB7" w:rsidRPr="00B136BD" w:rsidRDefault="006B0FB7" w:rsidP="0000430A">
      <w:pPr>
        <w:rPr>
          <w:bCs/>
          <w:color w:val="auto"/>
          <w:szCs w:val="20"/>
        </w:rPr>
      </w:pPr>
      <w:r w:rsidRPr="00B136BD">
        <w:rPr>
          <w:bCs/>
          <w:color w:val="auto"/>
          <w:szCs w:val="20"/>
        </w:rPr>
        <w:t xml:space="preserve">As Instituições Financeiras que operem e que venham a operar com o </w:t>
      </w:r>
      <w:r w:rsidR="00B136BD" w:rsidRPr="00D66461">
        <w:rPr>
          <w:bCs/>
          <w:color w:val="auto"/>
          <w:szCs w:val="20"/>
        </w:rPr>
        <w:t xml:space="preserve">Instituto de Previdência dos Servidores Públicos do Município de Pitangueiras </w:t>
      </w:r>
      <w:r w:rsidR="00B136BD">
        <w:rPr>
          <w:bCs/>
          <w:color w:val="auto"/>
          <w:szCs w:val="20"/>
        </w:rPr>
        <w:t>–</w:t>
      </w:r>
      <w:r w:rsidR="00B136BD" w:rsidRPr="00D66461">
        <w:rPr>
          <w:bCs/>
          <w:color w:val="auto"/>
          <w:szCs w:val="20"/>
        </w:rPr>
        <w:t xml:space="preserve"> PITANPREV</w:t>
      </w:r>
      <w:r w:rsidR="00B136BD">
        <w:rPr>
          <w:bCs/>
          <w:color w:val="auto"/>
          <w:szCs w:val="20"/>
        </w:rPr>
        <w:t>,</w:t>
      </w:r>
      <w:r w:rsidRPr="00B136BD">
        <w:rPr>
          <w:bCs/>
          <w:color w:val="auto"/>
          <w:szCs w:val="20"/>
        </w:rPr>
        <w:t xml:space="preserve"> poderão, a título institucional, oferecer apoio técnico através de cursos, seminários e workshops ministrados por profissionais de mercado e/ou funcionários das Instituições para capacitação de servidores e membros dos órgãos colegiados; bem como, contraprestação de serviços e projetos de iniciativa do </w:t>
      </w:r>
      <w:r w:rsidR="00B136BD" w:rsidRPr="00D66461">
        <w:rPr>
          <w:bCs/>
          <w:color w:val="auto"/>
          <w:szCs w:val="20"/>
        </w:rPr>
        <w:t>Instituto de Previdência dos Servidores Públicos do Município de Pitangueiras - PITANPREV</w:t>
      </w:r>
      <w:r w:rsidRPr="00B136BD">
        <w:rPr>
          <w:bCs/>
          <w:color w:val="auto"/>
          <w:szCs w:val="20"/>
        </w:rPr>
        <w:t>, sem que haja ônus ou compromisso vinculados aos produtos de investimentos.</w:t>
      </w:r>
    </w:p>
    <w:p w14:paraId="668EA344" w14:textId="78631ABB" w:rsidR="006B0FB7" w:rsidRPr="00B136BD" w:rsidRDefault="006B0FB7" w:rsidP="0000430A">
      <w:pPr>
        <w:rPr>
          <w:bCs/>
          <w:color w:val="auto"/>
          <w:szCs w:val="20"/>
        </w:rPr>
      </w:pPr>
      <w:r w:rsidRPr="00B136BD">
        <w:rPr>
          <w:bCs/>
          <w:color w:val="auto"/>
          <w:szCs w:val="20"/>
        </w:rPr>
        <w:t xml:space="preserve">Casos omissos nesta Política de Investimentos remetem-se à Resolução CMN n° </w:t>
      </w:r>
      <w:r w:rsidR="00226D97" w:rsidRPr="00B136BD">
        <w:rPr>
          <w:bCs/>
          <w:color w:val="auto"/>
          <w:szCs w:val="20"/>
        </w:rPr>
        <w:t>4.963/2021</w:t>
      </w:r>
      <w:r w:rsidR="00E81B0B" w:rsidRPr="00B136BD">
        <w:rPr>
          <w:bCs/>
          <w:color w:val="auto"/>
          <w:szCs w:val="20"/>
        </w:rPr>
        <w:t xml:space="preserve"> e suas </w:t>
      </w:r>
      <w:r w:rsidRPr="00B136BD">
        <w:rPr>
          <w:bCs/>
          <w:color w:val="auto"/>
          <w:szCs w:val="20"/>
        </w:rPr>
        <w:t>e à Portaria MPS nº 519</w:t>
      </w:r>
      <w:r w:rsidR="00226D97" w:rsidRPr="00B136BD">
        <w:rPr>
          <w:bCs/>
          <w:color w:val="auto"/>
          <w:szCs w:val="20"/>
        </w:rPr>
        <w:t>/</w:t>
      </w:r>
      <w:r w:rsidRPr="00B136BD">
        <w:rPr>
          <w:bCs/>
          <w:color w:val="auto"/>
          <w:szCs w:val="20"/>
        </w:rPr>
        <w:t>2011</w:t>
      </w:r>
      <w:r w:rsidR="00497B8F" w:rsidRPr="00B136BD">
        <w:rPr>
          <w:bCs/>
          <w:color w:val="auto"/>
          <w:szCs w:val="20"/>
        </w:rPr>
        <w:t xml:space="preserve"> </w:t>
      </w:r>
      <w:r w:rsidR="005D016A" w:rsidRPr="00B136BD">
        <w:rPr>
          <w:bCs/>
          <w:color w:val="auto"/>
          <w:szCs w:val="20"/>
        </w:rPr>
        <w:t>e</w:t>
      </w:r>
      <w:r w:rsidR="00497B8F" w:rsidRPr="00B136BD">
        <w:rPr>
          <w:bCs/>
          <w:color w:val="auto"/>
          <w:szCs w:val="20"/>
        </w:rPr>
        <w:t xml:space="preserve"> </w:t>
      </w:r>
      <w:r w:rsidR="005834DC" w:rsidRPr="00B136BD">
        <w:rPr>
          <w:bCs/>
          <w:color w:val="auto"/>
          <w:szCs w:val="20"/>
        </w:rPr>
        <w:t>demais normativas pertinentes aos Regimes Próprios de Previdência Social</w:t>
      </w:r>
      <w:r w:rsidRPr="00B136BD">
        <w:rPr>
          <w:bCs/>
          <w:color w:val="auto"/>
          <w:szCs w:val="20"/>
        </w:rPr>
        <w:t>.</w:t>
      </w:r>
    </w:p>
    <w:p w14:paraId="091A613E" w14:textId="3E19D508" w:rsidR="006B0FB7" w:rsidRDefault="006B0FB7" w:rsidP="0000430A">
      <w:pPr>
        <w:rPr>
          <w:bCs/>
          <w:color w:val="auto"/>
          <w:szCs w:val="20"/>
        </w:rPr>
      </w:pPr>
      <w:r w:rsidRPr="00B136BD">
        <w:rPr>
          <w:bCs/>
          <w:color w:val="auto"/>
          <w:szCs w:val="20"/>
        </w:rPr>
        <w:t xml:space="preserve">É parte integrante desta Política de Investimentos, </w:t>
      </w:r>
      <w:r w:rsidR="00497B8F" w:rsidRPr="00B136BD">
        <w:rPr>
          <w:bCs/>
          <w:color w:val="auto"/>
          <w:szCs w:val="20"/>
        </w:rPr>
        <w:t xml:space="preserve">cópia da </w:t>
      </w:r>
      <w:r w:rsidR="00497B8F" w:rsidRPr="00B136BD">
        <w:rPr>
          <w:b/>
          <w:bCs/>
          <w:color w:val="auto"/>
          <w:szCs w:val="20"/>
        </w:rPr>
        <w:t>Ata do Comitê de Investimentos</w:t>
      </w:r>
      <w:r w:rsidR="00497B8F" w:rsidRPr="00B136BD">
        <w:rPr>
          <w:bCs/>
          <w:color w:val="auto"/>
          <w:szCs w:val="20"/>
        </w:rPr>
        <w:t xml:space="preserve"> que é participante do processo decisório quanto à sua formulação e </w:t>
      </w:r>
      <w:r w:rsidR="00DD4794" w:rsidRPr="00B136BD">
        <w:rPr>
          <w:bCs/>
          <w:color w:val="auto"/>
          <w:szCs w:val="20"/>
        </w:rPr>
        <w:t xml:space="preserve">execução, </w:t>
      </w:r>
      <w:r w:rsidRPr="00B136BD">
        <w:rPr>
          <w:bCs/>
          <w:color w:val="auto"/>
          <w:szCs w:val="20"/>
        </w:rPr>
        <w:t xml:space="preserve">cópia da </w:t>
      </w:r>
      <w:r w:rsidRPr="00B136BD">
        <w:rPr>
          <w:b/>
          <w:bCs/>
          <w:color w:val="auto"/>
          <w:szCs w:val="20"/>
        </w:rPr>
        <w:t>Ata do órgão superior</w:t>
      </w:r>
      <w:r w:rsidR="00DD4794" w:rsidRPr="00B136BD">
        <w:rPr>
          <w:bCs/>
          <w:color w:val="auto"/>
          <w:szCs w:val="20"/>
        </w:rPr>
        <w:t xml:space="preserve"> </w:t>
      </w:r>
      <w:r w:rsidR="00DD4794" w:rsidRPr="00B136BD">
        <w:rPr>
          <w:b/>
          <w:color w:val="auto"/>
          <w:szCs w:val="20"/>
        </w:rPr>
        <w:t xml:space="preserve">de deliberação </w:t>
      </w:r>
      <w:r w:rsidRPr="00B136BD">
        <w:rPr>
          <w:bCs/>
          <w:color w:val="auto"/>
          <w:szCs w:val="20"/>
        </w:rPr>
        <w:t>competente que aprova o presente instrumento, devidamente assinada por seus membros</w:t>
      </w:r>
      <w:r w:rsidR="00DD4794" w:rsidRPr="00B136BD">
        <w:rPr>
          <w:bCs/>
          <w:color w:val="auto"/>
          <w:szCs w:val="20"/>
        </w:rPr>
        <w:t xml:space="preserve"> e </w:t>
      </w:r>
      <w:r w:rsidR="000B6B29" w:rsidRPr="00B136BD">
        <w:rPr>
          <w:bCs/>
          <w:color w:val="auto"/>
          <w:szCs w:val="20"/>
        </w:rPr>
        <w:t xml:space="preserve">parecer técnico emitido pela consultoria de investimentos </w:t>
      </w:r>
      <w:r w:rsidR="008E7CA3" w:rsidRPr="00B136BD">
        <w:rPr>
          <w:bCs/>
          <w:color w:val="auto"/>
          <w:szCs w:val="20"/>
        </w:rPr>
        <w:t>que apresenta a “Apuração do Valor Esperado da Rentabilidade Futura da Carteira de Investimentos Garantidores do RPPS, em atendimento ao Art. 26 da Portaria MF nº464/2018</w:t>
      </w:r>
      <w:r w:rsidR="00497B8F" w:rsidRPr="00B136BD">
        <w:rPr>
          <w:bCs/>
          <w:color w:val="auto"/>
          <w:szCs w:val="20"/>
        </w:rPr>
        <w:t>.</w:t>
      </w:r>
    </w:p>
    <w:p w14:paraId="113F9696" w14:textId="0A7EE14D" w:rsidR="0000430A" w:rsidRDefault="00B136BD" w:rsidP="00B136BD">
      <w:pPr>
        <w:jc w:val="center"/>
        <w:rPr>
          <w:bCs/>
          <w:color w:val="auto"/>
          <w:szCs w:val="20"/>
        </w:rPr>
      </w:pPr>
      <w:r>
        <w:rPr>
          <w:bCs/>
          <w:color w:val="auto"/>
          <w:szCs w:val="20"/>
        </w:rPr>
        <w:t>Pitangueiras, SP 23 de dezembro de 2021</w:t>
      </w:r>
    </w:p>
    <w:p w14:paraId="220BA5EE"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Marcos Aurelio Soriano</w:t>
      </w:r>
    </w:p>
    <w:p w14:paraId="33E97048" w14:textId="77777777" w:rsidR="003D369E" w:rsidRPr="00A22044" w:rsidRDefault="003D369E" w:rsidP="003D369E">
      <w:pPr>
        <w:spacing w:after="0" w:line="240" w:lineRule="auto"/>
        <w:jc w:val="center"/>
        <w:rPr>
          <w:color w:val="auto"/>
          <w:sz w:val="16"/>
          <w:szCs w:val="16"/>
        </w:rPr>
      </w:pPr>
      <w:r w:rsidRPr="00A22044">
        <w:rPr>
          <w:color w:val="auto"/>
          <w:sz w:val="16"/>
          <w:szCs w:val="16"/>
        </w:rPr>
        <w:t>Prefeito</w:t>
      </w:r>
    </w:p>
    <w:p w14:paraId="1D854550" w14:textId="77777777" w:rsidR="003D369E" w:rsidRPr="00A22044" w:rsidRDefault="003D369E" w:rsidP="003D369E">
      <w:pPr>
        <w:spacing w:after="0" w:line="240" w:lineRule="auto"/>
        <w:jc w:val="center"/>
        <w:rPr>
          <w:color w:val="auto"/>
          <w:sz w:val="16"/>
          <w:szCs w:val="16"/>
        </w:rPr>
      </w:pPr>
    </w:p>
    <w:p w14:paraId="1CC0C8A9"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Antonio Sérgio Toniello</w:t>
      </w:r>
    </w:p>
    <w:p w14:paraId="2ADEB085" w14:textId="77777777" w:rsidR="003D369E" w:rsidRPr="00A22044" w:rsidRDefault="003D369E" w:rsidP="003D369E">
      <w:pPr>
        <w:spacing w:after="0" w:line="240" w:lineRule="auto"/>
        <w:jc w:val="center"/>
        <w:rPr>
          <w:color w:val="auto"/>
          <w:sz w:val="16"/>
          <w:szCs w:val="16"/>
        </w:rPr>
      </w:pPr>
      <w:r w:rsidRPr="00A22044">
        <w:rPr>
          <w:color w:val="auto"/>
          <w:sz w:val="16"/>
          <w:szCs w:val="16"/>
        </w:rPr>
        <w:t>Diretor Presidente</w:t>
      </w:r>
    </w:p>
    <w:p w14:paraId="3C26AFD7" w14:textId="77777777" w:rsidR="003D369E" w:rsidRPr="00A22044" w:rsidRDefault="003D369E" w:rsidP="003D369E">
      <w:pPr>
        <w:spacing w:after="0" w:line="240" w:lineRule="auto"/>
        <w:jc w:val="center"/>
        <w:rPr>
          <w:color w:val="auto"/>
          <w:sz w:val="16"/>
          <w:szCs w:val="16"/>
        </w:rPr>
      </w:pPr>
      <w:r w:rsidRPr="00A22044">
        <w:rPr>
          <w:color w:val="auto"/>
          <w:sz w:val="16"/>
          <w:szCs w:val="16"/>
        </w:rPr>
        <w:t>Gestor dos Recursos</w:t>
      </w:r>
    </w:p>
    <w:p w14:paraId="3334968F" w14:textId="77777777" w:rsidR="003D369E" w:rsidRPr="00A22044" w:rsidRDefault="003D369E" w:rsidP="003D369E">
      <w:pPr>
        <w:spacing w:after="0" w:line="240" w:lineRule="auto"/>
        <w:jc w:val="center"/>
        <w:rPr>
          <w:color w:val="auto"/>
          <w:sz w:val="16"/>
          <w:szCs w:val="16"/>
        </w:rPr>
      </w:pPr>
      <w:r w:rsidRPr="00A22044">
        <w:rPr>
          <w:color w:val="auto"/>
          <w:sz w:val="16"/>
          <w:szCs w:val="16"/>
        </w:rPr>
        <w:t>Certificação Anbima CPA 10</w:t>
      </w:r>
    </w:p>
    <w:p w14:paraId="0380C26C" w14:textId="77777777" w:rsidR="003D369E" w:rsidRPr="00A22044" w:rsidRDefault="003D369E" w:rsidP="003D369E">
      <w:pPr>
        <w:spacing w:after="0" w:line="240" w:lineRule="auto"/>
        <w:jc w:val="center"/>
        <w:rPr>
          <w:color w:val="auto"/>
          <w:sz w:val="16"/>
          <w:szCs w:val="16"/>
        </w:rPr>
      </w:pPr>
    </w:p>
    <w:p w14:paraId="7DAF4DDF" w14:textId="77777777" w:rsidR="003D369E" w:rsidRPr="00A22044" w:rsidRDefault="003D369E" w:rsidP="003D369E">
      <w:pPr>
        <w:spacing w:after="0" w:line="240" w:lineRule="auto"/>
        <w:jc w:val="center"/>
        <w:rPr>
          <w:color w:val="auto"/>
          <w:sz w:val="16"/>
          <w:szCs w:val="16"/>
        </w:rPr>
      </w:pPr>
    </w:p>
    <w:p w14:paraId="494B5D65" w14:textId="5436BB1A" w:rsidR="003D369E" w:rsidRPr="00A22044" w:rsidRDefault="003D369E" w:rsidP="003D369E">
      <w:pPr>
        <w:spacing w:after="0" w:line="240" w:lineRule="auto"/>
        <w:jc w:val="center"/>
        <w:rPr>
          <w:b/>
          <w:color w:val="auto"/>
          <w:sz w:val="16"/>
          <w:szCs w:val="16"/>
        </w:rPr>
      </w:pPr>
      <w:r w:rsidRPr="00A22044">
        <w:rPr>
          <w:b/>
          <w:color w:val="auto"/>
          <w:sz w:val="16"/>
          <w:szCs w:val="16"/>
        </w:rPr>
        <w:t>ELABORAÇÃO</w:t>
      </w:r>
    </w:p>
    <w:p w14:paraId="6B4ACF6B"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COMITÊ DE INVESTIMENTOS</w:t>
      </w:r>
    </w:p>
    <w:p w14:paraId="30043302" w14:textId="77777777" w:rsidR="003D369E" w:rsidRPr="00A22044" w:rsidRDefault="003D369E" w:rsidP="003D369E">
      <w:pPr>
        <w:spacing w:after="0" w:line="240" w:lineRule="auto"/>
        <w:jc w:val="center"/>
        <w:rPr>
          <w:color w:val="auto"/>
          <w:sz w:val="16"/>
          <w:szCs w:val="16"/>
        </w:rPr>
      </w:pPr>
    </w:p>
    <w:p w14:paraId="2C25A660" w14:textId="77777777" w:rsidR="003D369E" w:rsidRPr="00A22044" w:rsidRDefault="003D369E" w:rsidP="003D369E">
      <w:pPr>
        <w:spacing w:after="0" w:line="240" w:lineRule="auto"/>
        <w:jc w:val="center"/>
        <w:rPr>
          <w:color w:val="auto"/>
          <w:sz w:val="16"/>
          <w:szCs w:val="16"/>
        </w:rPr>
      </w:pPr>
    </w:p>
    <w:p w14:paraId="3B6C71C3"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Antonio Sérgio Toniello</w:t>
      </w:r>
    </w:p>
    <w:p w14:paraId="4A552B38" w14:textId="77777777" w:rsidR="003D369E" w:rsidRPr="00A22044" w:rsidRDefault="003D369E" w:rsidP="003D369E">
      <w:pPr>
        <w:spacing w:after="0" w:line="240" w:lineRule="auto"/>
        <w:jc w:val="center"/>
        <w:rPr>
          <w:color w:val="auto"/>
          <w:sz w:val="16"/>
          <w:szCs w:val="16"/>
        </w:rPr>
      </w:pPr>
      <w:r w:rsidRPr="00A22044">
        <w:rPr>
          <w:color w:val="auto"/>
          <w:sz w:val="16"/>
          <w:szCs w:val="16"/>
        </w:rPr>
        <w:t>Presidente do Comitê</w:t>
      </w:r>
    </w:p>
    <w:p w14:paraId="4067D3F8" w14:textId="77777777" w:rsidR="003D369E" w:rsidRPr="00A22044" w:rsidRDefault="003D369E" w:rsidP="003D369E">
      <w:pPr>
        <w:spacing w:after="0" w:line="240" w:lineRule="auto"/>
        <w:jc w:val="center"/>
        <w:rPr>
          <w:color w:val="auto"/>
          <w:sz w:val="16"/>
          <w:szCs w:val="16"/>
        </w:rPr>
      </w:pPr>
      <w:r w:rsidRPr="00A22044">
        <w:rPr>
          <w:color w:val="auto"/>
          <w:sz w:val="16"/>
          <w:szCs w:val="16"/>
        </w:rPr>
        <w:t>Certificação Anbima CPA 10</w:t>
      </w:r>
    </w:p>
    <w:p w14:paraId="6A3B95A7" w14:textId="77777777" w:rsidR="003D369E" w:rsidRPr="00A22044" w:rsidRDefault="003D369E" w:rsidP="003D369E">
      <w:pPr>
        <w:spacing w:after="0" w:line="240" w:lineRule="auto"/>
        <w:jc w:val="center"/>
        <w:rPr>
          <w:color w:val="auto"/>
          <w:sz w:val="16"/>
          <w:szCs w:val="16"/>
        </w:rPr>
      </w:pPr>
    </w:p>
    <w:p w14:paraId="0AE9093A" w14:textId="77777777" w:rsidR="003D369E" w:rsidRPr="00A22044" w:rsidRDefault="003D369E" w:rsidP="003D369E">
      <w:pPr>
        <w:spacing w:after="0" w:line="240" w:lineRule="auto"/>
        <w:jc w:val="center"/>
        <w:rPr>
          <w:color w:val="auto"/>
          <w:sz w:val="16"/>
          <w:szCs w:val="16"/>
        </w:rPr>
      </w:pPr>
    </w:p>
    <w:p w14:paraId="2913BC94"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Patrícia Zappeloni Ramos</w:t>
      </w:r>
    </w:p>
    <w:p w14:paraId="753650AE"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Comitê</w:t>
      </w:r>
    </w:p>
    <w:p w14:paraId="3FC21806" w14:textId="77777777" w:rsidR="003D369E" w:rsidRPr="00A22044" w:rsidRDefault="003D369E" w:rsidP="003D369E">
      <w:pPr>
        <w:spacing w:after="0" w:line="240" w:lineRule="auto"/>
        <w:jc w:val="center"/>
        <w:rPr>
          <w:color w:val="auto"/>
          <w:sz w:val="16"/>
          <w:szCs w:val="16"/>
        </w:rPr>
      </w:pPr>
      <w:r w:rsidRPr="00A22044">
        <w:rPr>
          <w:color w:val="auto"/>
          <w:sz w:val="16"/>
          <w:szCs w:val="16"/>
        </w:rPr>
        <w:t>Certificação Anbima CPA 10</w:t>
      </w:r>
    </w:p>
    <w:p w14:paraId="14207EEA" w14:textId="77777777" w:rsidR="003D369E" w:rsidRPr="00A22044" w:rsidRDefault="003D369E" w:rsidP="003D369E">
      <w:pPr>
        <w:spacing w:after="0" w:line="240" w:lineRule="auto"/>
        <w:jc w:val="center"/>
        <w:rPr>
          <w:color w:val="auto"/>
          <w:sz w:val="16"/>
          <w:szCs w:val="16"/>
        </w:rPr>
      </w:pPr>
    </w:p>
    <w:p w14:paraId="3DB19D97" w14:textId="77777777" w:rsidR="003D369E" w:rsidRPr="00A22044" w:rsidRDefault="003D369E" w:rsidP="003D369E">
      <w:pPr>
        <w:spacing w:after="0" w:line="240" w:lineRule="auto"/>
        <w:jc w:val="center"/>
        <w:rPr>
          <w:color w:val="auto"/>
          <w:sz w:val="16"/>
          <w:szCs w:val="16"/>
        </w:rPr>
      </w:pPr>
    </w:p>
    <w:p w14:paraId="61F787BD"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João Henrique Mendes Pinheiro</w:t>
      </w:r>
    </w:p>
    <w:p w14:paraId="701F4E5A"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Comitê</w:t>
      </w:r>
    </w:p>
    <w:p w14:paraId="7C0DB3B9" w14:textId="77777777" w:rsidR="003D369E" w:rsidRPr="00A22044" w:rsidRDefault="003D369E" w:rsidP="003D369E">
      <w:pPr>
        <w:spacing w:after="0" w:line="240" w:lineRule="auto"/>
        <w:jc w:val="center"/>
        <w:rPr>
          <w:color w:val="auto"/>
          <w:sz w:val="16"/>
          <w:szCs w:val="16"/>
        </w:rPr>
      </w:pPr>
      <w:r w:rsidRPr="00A22044">
        <w:rPr>
          <w:color w:val="auto"/>
          <w:sz w:val="16"/>
          <w:szCs w:val="16"/>
        </w:rPr>
        <w:t>Certificação Anbima CPA 10</w:t>
      </w:r>
    </w:p>
    <w:p w14:paraId="74A06380" w14:textId="77777777" w:rsidR="00321940" w:rsidRDefault="00321940" w:rsidP="003D369E">
      <w:pPr>
        <w:spacing w:after="0" w:line="240" w:lineRule="auto"/>
        <w:jc w:val="center"/>
        <w:rPr>
          <w:b/>
          <w:color w:val="auto"/>
          <w:sz w:val="16"/>
          <w:szCs w:val="16"/>
        </w:rPr>
      </w:pPr>
    </w:p>
    <w:p w14:paraId="3D0EFF81" w14:textId="77777777" w:rsidR="003D369E" w:rsidRPr="00A22044" w:rsidRDefault="003D369E" w:rsidP="003D369E">
      <w:pPr>
        <w:spacing w:after="0" w:line="240" w:lineRule="auto"/>
        <w:jc w:val="center"/>
        <w:rPr>
          <w:b/>
          <w:color w:val="auto"/>
          <w:sz w:val="16"/>
          <w:szCs w:val="16"/>
        </w:rPr>
      </w:pPr>
      <w:bookmarkStart w:id="121" w:name="_GoBack"/>
      <w:bookmarkEnd w:id="121"/>
      <w:r w:rsidRPr="00A22044">
        <w:rPr>
          <w:b/>
          <w:color w:val="auto"/>
          <w:sz w:val="16"/>
          <w:szCs w:val="16"/>
        </w:rPr>
        <w:lastRenderedPageBreak/>
        <w:t>APROVADO POR</w:t>
      </w:r>
    </w:p>
    <w:p w14:paraId="036CC711"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CONSELHO ADMINISTRATIVO</w:t>
      </w:r>
    </w:p>
    <w:p w14:paraId="7F1D8A6C" w14:textId="77777777" w:rsidR="003D369E" w:rsidRPr="00A22044" w:rsidRDefault="003D369E" w:rsidP="003D369E">
      <w:pPr>
        <w:spacing w:after="0" w:line="240" w:lineRule="auto"/>
        <w:jc w:val="center"/>
        <w:rPr>
          <w:color w:val="auto"/>
          <w:sz w:val="16"/>
          <w:szCs w:val="16"/>
        </w:rPr>
      </w:pPr>
    </w:p>
    <w:p w14:paraId="2B545ABB" w14:textId="77777777" w:rsidR="003D369E" w:rsidRPr="00A22044" w:rsidRDefault="003D369E" w:rsidP="003D369E">
      <w:pPr>
        <w:spacing w:after="0" w:line="240" w:lineRule="auto"/>
        <w:jc w:val="center"/>
        <w:rPr>
          <w:color w:val="auto"/>
          <w:sz w:val="16"/>
          <w:szCs w:val="16"/>
        </w:rPr>
      </w:pPr>
    </w:p>
    <w:p w14:paraId="5E297765" w14:textId="05F3F59B" w:rsidR="003D369E" w:rsidRPr="00A22044" w:rsidRDefault="00A22044" w:rsidP="003D369E">
      <w:pPr>
        <w:spacing w:after="0" w:line="240" w:lineRule="auto"/>
        <w:jc w:val="center"/>
        <w:rPr>
          <w:b/>
          <w:color w:val="auto"/>
          <w:sz w:val="16"/>
          <w:szCs w:val="16"/>
        </w:rPr>
      </w:pPr>
      <w:r w:rsidRPr="00A22044">
        <w:rPr>
          <w:b/>
          <w:color w:val="auto"/>
          <w:sz w:val="16"/>
          <w:szCs w:val="16"/>
        </w:rPr>
        <w:t>Eliana Regina Casadei</w:t>
      </w:r>
    </w:p>
    <w:p w14:paraId="77D6581F" w14:textId="77777777" w:rsidR="003D369E" w:rsidRPr="00A22044" w:rsidRDefault="003D369E" w:rsidP="003D369E">
      <w:pPr>
        <w:spacing w:after="0" w:line="240" w:lineRule="auto"/>
        <w:jc w:val="center"/>
        <w:rPr>
          <w:color w:val="auto"/>
          <w:sz w:val="16"/>
          <w:szCs w:val="16"/>
        </w:rPr>
      </w:pPr>
      <w:r w:rsidRPr="00A22044">
        <w:rPr>
          <w:color w:val="auto"/>
          <w:sz w:val="16"/>
          <w:szCs w:val="16"/>
        </w:rPr>
        <w:t>Presidente do Conselho</w:t>
      </w:r>
    </w:p>
    <w:p w14:paraId="74FF95D2" w14:textId="77777777" w:rsidR="003D369E" w:rsidRPr="00A22044" w:rsidRDefault="003D369E" w:rsidP="003D369E">
      <w:pPr>
        <w:spacing w:after="0" w:line="240" w:lineRule="auto"/>
        <w:jc w:val="center"/>
        <w:rPr>
          <w:color w:val="auto"/>
          <w:sz w:val="16"/>
          <w:szCs w:val="16"/>
        </w:rPr>
      </w:pPr>
      <w:r w:rsidRPr="00A22044">
        <w:rPr>
          <w:color w:val="auto"/>
          <w:sz w:val="16"/>
          <w:szCs w:val="16"/>
        </w:rPr>
        <w:t>Poder Executivo</w:t>
      </w:r>
    </w:p>
    <w:p w14:paraId="0C237D2C" w14:textId="77777777" w:rsidR="003D369E" w:rsidRPr="00A22044" w:rsidRDefault="003D369E" w:rsidP="003D369E">
      <w:pPr>
        <w:spacing w:after="0" w:line="240" w:lineRule="auto"/>
        <w:jc w:val="center"/>
        <w:rPr>
          <w:color w:val="auto"/>
          <w:sz w:val="16"/>
          <w:szCs w:val="16"/>
        </w:rPr>
      </w:pPr>
    </w:p>
    <w:p w14:paraId="4885B968" w14:textId="77777777" w:rsidR="003D369E" w:rsidRPr="00A22044" w:rsidRDefault="003D369E" w:rsidP="003D369E">
      <w:pPr>
        <w:spacing w:after="0" w:line="240" w:lineRule="auto"/>
        <w:jc w:val="center"/>
        <w:rPr>
          <w:color w:val="auto"/>
          <w:sz w:val="16"/>
          <w:szCs w:val="16"/>
        </w:rPr>
      </w:pPr>
    </w:p>
    <w:p w14:paraId="4D269C01"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Tiago Fernando Fontes</w:t>
      </w:r>
    </w:p>
    <w:p w14:paraId="5D3BA84E"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54B49F49" w14:textId="77777777" w:rsidR="003D369E" w:rsidRPr="00A22044" w:rsidRDefault="003D369E" w:rsidP="003D369E">
      <w:pPr>
        <w:spacing w:after="0" w:line="240" w:lineRule="auto"/>
        <w:jc w:val="center"/>
        <w:rPr>
          <w:color w:val="auto"/>
          <w:sz w:val="16"/>
          <w:szCs w:val="16"/>
        </w:rPr>
      </w:pPr>
      <w:r w:rsidRPr="00A22044">
        <w:rPr>
          <w:color w:val="auto"/>
          <w:sz w:val="16"/>
          <w:szCs w:val="16"/>
        </w:rPr>
        <w:t>Poder Executivo</w:t>
      </w:r>
    </w:p>
    <w:p w14:paraId="304FA364" w14:textId="77777777" w:rsidR="003D369E" w:rsidRPr="00A22044" w:rsidRDefault="003D369E" w:rsidP="003D369E">
      <w:pPr>
        <w:spacing w:after="0" w:line="240" w:lineRule="auto"/>
        <w:jc w:val="center"/>
        <w:rPr>
          <w:color w:val="auto"/>
          <w:sz w:val="16"/>
          <w:szCs w:val="16"/>
        </w:rPr>
      </w:pPr>
    </w:p>
    <w:p w14:paraId="7A3BEE12" w14:textId="77777777" w:rsidR="003D369E" w:rsidRPr="00A22044" w:rsidRDefault="003D369E" w:rsidP="003D369E">
      <w:pPr>
        <w:spacing w:after="0" w:line="240" w:lineRule="auto"/>
        <w:jc w:val="center"/>
        <w:rPr>
          <w:color w:val="auto"/>
          <w:sz w:val="16"/>
          <w:szCs w:val="16"/>
        </w:rPr>
      </w:pPr>
    </w:p>
    <w:p w14:paraId="682911F6"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Valtair de Oliveira</w:t>
      </w:r>
    </w:p>
    <w:p w14:paraId="0AA2FA17"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2960F12A" w14:textId="77777777" w:rsidR="003D369E" w:rsidRPr="00A22044" w:rsidRDefault="003D369E" w:rsidP="003D369E">
      <w:pPr>
        <w:spacing w:after="0" w:line="240" w:lineRule="auto"/>
        <w:jc w:val="center"/>
        <w:rPr>
          <w:color w:val="auto"/>
          <w:sz w:val="16"/>
          <w:szCs w:val="16"/>
        </w:rPr>
      </w:pPr>
      <w:r w:rsidRPr="00A22044">
        <w:rPr>
          <w:color w:val="auto"/>
          <w:sz w:val="16"/>
          <w:szCs w:val="16"/>
        </w:rPr>
        <w:t>Poder Legislativo</w:t>
      </w:r>
    </w:p>
    <w:p w14:paraId="0710A391" w14:textId="77777777" w:rsidR="003D369E" w:rsidRPr="00A22044" w:rsidRDefault="003D369E" w:rsidP="003D369E">
      <w:pPr>
        <w:spacing w:after="0" w:line="240" w:lineRule="auto"/>
        <w:jc w:val="center"/>
        <w:rPr>
          <w:color w:val="auto"/>
          <w:sz w:val="16"/>
          <w:szCs w:val="16"/>
        </w:rPr>
      </w:pPr>
    </w:p>
    <w:p w14:paraId="245F93D8" w14:textId="77777777" w:rsidR="003D369E" w:rsidRPr="00A22044" w:rsidRDefault="003D369E" w:rsidP="003D369E">
      <w:pPr>
        <w:spacing w:after="0" w:line="240" w:lineRule="auto"/>
        <w:jc w:val="center"/>
        <w:rPr>
          <w:color w:val="auto"/>
          <w:sz w:val="16"/>
          <w:szCs w:val="16"/>
        </w:rPr>
      </w:pPr>
    </w:p>
    <w:p w14:paraId="01B798B8"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Ewerton Cascineli Soares</w:t>
      </w:r>
    </w:p>
    <w:p w14:paraId="7B6A76C0"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3E5A8E87" w14:textId="77777777" w:rsidR="003D369E" w:rsidRPr="00A22044" w:rsidRDefault="003D369E" w:rsidP="003D369E">
      <w:pPr>
        <w:spacing w:after="0" w:line="240" w:lineRule="auto"/>
        <w:jc w:val="center"/>
        <w:rPr>
          <w:color w:val="auto"/>
          <w:sz w:val="16"/>
          <w:szCs w:val="16"/>
        </w:rPr>
      </w:pPr>
      <w:r w:rsidRPr="00A22044">
        <w:rPr>
          <w:color w:val="auto"/>
          <w:sz w:val="16"/>
          <w:szCs w:val="16"/>
        </w:rPr>
        <w:t>Poder Legislativo</w:t>
      </w:r>
    </w:p>
    <w:p w14:paraId="331A954E" w14:textId="77777777" w:rsidR="003D369E" w:rsidRPr="00A22044" w:rsidRDefault="003D369E" w:rsidP="003D369E">
      <w:pPr>
        <w:spacing w:after="0" w:line="240" w:lineRule="auto"/>
        <w:jc w:val="center"/>
        <w:rPr>
          <w:color w:val="auto"/>
          <w:sz w:val="16"/>
          <w:szCs w:val="16"/>
        </w:rPr>
      </w:pPr>
    </w:p>
    <w:p w14:paraId="7F5471CE" w14:textId="77777777" w:rsidR="003D369E" w:rsidRPr="00A22044" w:rsidRDefault="003D369E" w:rsidP="003D369E">
      <w:pPr>
        <w:spacing w:after="0" w:line="240" w:lineRule="auto"/>
        <w:jc w:val="center"/>
        <w:rPr>
          <w:color w:val="auto"/>
          <w:sz w:val="16"/>
          <w:szCs w:val="16"/>
        </w:rPr>
      </w:pPr>
    </w:p>
    <w:p w14:paraId="659EE79E"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João Marcos Constantino</w:t>
      </w:r>
    </w:p>
    <w:p w14:paraId="1C2874F0"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571ADB2D" w14:textId="77777777" w:rsidR="003D369E" w:rsidRPr="00A22044" w:rsidRDefault="003D369E" w:rsidP="003D369E">
      <w:pPr>
        <w:spacing w:after="0" w:line="240" w:lineRule="auto"/>
        <w:jc w:val="center"/>
        <w:rPr>
          <w:color w:val="auto"/>
          <w:sz w:val="16"/>
          <w:szCs w:val="16"/>
        </w:rPr>
      </w:pPr>
      <w:r w:rsidRPr="00A22044">
        <w:rPr>
          <w:color w:val="auto"/>
          <w:sz w:val="16"/>
          <w:szCs w:val="16"/>
        </w:rPr>
        <w:t>Representante Servidor Ativo</w:t>
      </w:r>
    </w:p>
    <w:p w14:paraId="3C572BD5" w14:textId="77777777" w:rsidR="003D369E" w:rsidRPr="00A22044" w:rsidRDefault="003D369E" w:rsidP="003D369E">
      <w:pPr>
        <w:spacing w:after="0" w:line="240" w:lineRule="auto"/>
        <w:jc w:val="center"/>
        <w:rPr>
          <w:color w:val="auto"/>
          <w:sz w:val="16"/>
          <w:szCs w:val="16"/>
        </w:rPr>
      </w:pPr>
    </w:p>
    <w:p w14:paraId="77396617" w14:textId="77777777" w:rsidR="003D369E" w:rsidRPr="00A22044" w:rsidRDefault="003D369E" w:rsidP="003D369E">
      <w:pPr>
        <w:spacing w:after="0" w:line="240" w:lineRule="auto"/>
        <w:jc w:val="center"/>
        <w:rPr>
          <w:color w:val="auto"/>
          <w:sz w:val="16"/>
          <w:szCs w:val="16"/>
        </w:rPr>
      </w:pPr>
    </w:p>
    <w:p w14:paraId="700E66C8"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Valdinei Batista Marques</w:t>
      </w:r>
    </w:p>
    <w:p w14:paraId="7389EC2E"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0D36A5B6" w14:textId="77777777" w:rsidR="003D369E" w:rsidRPr="00A22044" w:rsidRDefault="003D369E" w:rsidP="003D369E">
      <w:pPr>
        <w:spacing w:after="0" w:line="240" w:lineRule="auto"/>
        <w:jc w:val="center"/>
        <w:rPr>
          <w:color w:val="auto"/>
          <w:sz w:val="16"/>
          <w:szCs w:val="16"/>
        </w:rPr>
      </w:pPr>
      <w:r w:rsidRPr="00A22044">
        <w:rPr>
          <w:color w:val="auto"/>
          <w:sz w:val="16"/>
          <w:szCs w:val="16"/>
        </w:rPr>
        <w:t>Representante do Servidor Ativo</w:t>
      </w:r>
    </w:p>
    <w:p w14:paraId="047FFA7B" w14:textId="77777777" w:rsidR="003D369E" w:rsidRPr="00A22044" w:rsidRDefault="003D369E" w:rsidP="003D369E">
      <w:pPr>
        <w:spacing w:after="0" w:line="240" w:lineRule="auto"/>
        <w:jc w:val="center"/>
        <w:rPr>
          <w:color w:val="auto"/>
          <w:sz w:val="16"/>
          <w:szCs w:val="16"/>
        </w:rPr>
      </w:pPr>
    </w:p>
    <w:p w14:paraId="3CB8FF79" w14:textId="77777777" w:rsidR="003D369E" w:rsidRPr="00A22044" w:rsidRDefault="003D369E" w:rsidP="003D369E">
      <w:pPr>
        <w:spacing w:after="0" w:line="240" w:lineRule="auto"/>
        <w:jc w:val="center"/>
        <w:rPr>
          <w:color w:val="auto"/>
          <w:sz w:val="16"/>
          <w:szCs w:val="16"/>
        </w:rPr>
      </w:pPr>
    </w:p>
    <w:p w14:paraId="202DA70A" w14:textId="77777777" w:rsidR="003D369E" w:rsidRPr="00A22044" w:rsidRDefault="003D369E" w:rsidP="003D369E">
      <w:pPr>
        <w:spacing w:after="0" w:line="240" w:lineRule="auto"/>
        <w:jc w:val="center"/>
        <w:rPr>
          <w:b/>
          <w:color w:val="auto"/>
          <w:sz w:val="16"/>
          <w:szCs w:val="16"/>
        </w:rPr>
      </w:pPr>
      <w:r w:rsidRPr="00A22044">
        <w:rPr>
          <w:b/>
          <w:color w:val="auto"/>
          <w:sz w:val="16"/>
          <w:szCs w:val="16"/>
        </w:rPr>
        <w:t>Maria Aparecida Cávoli</w:t>
      </w:r>
    </w:p>
    <w:p w14:paraId="126DFB8F" w14:textId="77777777" w:rsidR="003D369E" w:rsidRPr="00A22044" w:rsidRDefault="003D369E" w:rsidP="003D369E">
      <w:pPr>
        <w:spacing w:after="0" w:line="240" w:lineRule="auto"/>
        <w:jc w:val="center"/>
        <w:rPr>
          <w:color w:val="auto"/>
          <w:sz w:val="16"/>
          <w:szCs w:val="16"/>
        </w:rPr>
      </w:pPr>
      <w:r w:rsidRPr="00A22044">
        <w:rPr>
          <w:color w:val="auto"/>
          <w:sz w:val="16"/>
          <w:szCs w:val="16"/>
        </w:rPr>
        <w:t>Membro do Conselho</w:t>
      </w:r>
    </w:p>
    <w:p w14:paraId="20585705" w14:textId="77777777" w:rsidR="003D369E" w:rsidRPr="00A22044" w:rsidRDefault="003D369E" w:rsidP="003D369E">
      <w:pPr>
        <w:spacing w:after="0" w:line="240" w:lineRule="auto"/>
        <w:jc w:val="center"/>
        <w:rPr>
          <w:color w:val="auto"/>
          <w:sz w:val="16"/>
          <w:szCs w:val="16"/>
        </w:rPr>
      </w:pPr>
      <w:r w:rsidRPr="00A22044">
        <w:rPr>
          <w:color w:val="auto"/>
          <w:sz w:val="16"/>
          <w:szCs w:val="16"/>
        </w:rPr>
        <w:t>Representante do Servidor Inativo</w:t>
      </w:r>
    </w:p>
    <w:p w14:paraId="3023882D" w14:textId="77777777" w:rsidR="00B136BD" w:rsidRDefault="00B136BD" w:rsidP="00B136BD">
      <w:pPr>
        <w:spacing w:after="0" w:line="240" w:lineRule="auto"/>
        <w:jc w:val="center"/>
        <w:rPr>
          <w:bCs/>
          <w:color w:val="auto"/>
          <w:szCs w:val="20"/>
        </w:rPr>
      </w:pPr>
    </w:p>
    <w:p w14:paraId="304ED8DD" w14:textId="77777777" w:rsidR="00B136BD" w:rsidRDefault="00B136BD" w:rsidP="00B136BD">
      <w:pPr>
        <w:spacing w:after="0" w:line="240" w:lineRule="auto"/>
        <w:jc w:val="center"/>
        <w:rPr>
          <w:bCs/>
          <w:color w:val="auto"/>
          <w:szCs w:val="20"/>
        </w:rPr>
      </w:pPr>
    </w:p>
    <w:p w14:paraId="5BE2633C" w14:textId="77777777" w:rsidR="00B136BD" w:rsidRPr="00B136BD" w:rsidRDefault="00B136BD" w:rsidP="00B136BD">
      <w:pPr>
        <w:spacing w:after="0" w:line="240" w:lineRule="auto"/>
        <w:jc w:val="center"/>
        <w:rPr>
          <w:bCs/>
          <w:color w:val="auto"/>
          <w:szCs w:val="20"/>
        </w:rPr>
      </w:pPr>
    </w:p>
    <w:p w14:paraId="11C69B44" w14:textId="629995F5" w:rsidR="00687BFD" w:rsidRPr="00516AB2" w:rsidRDefault="00687BFD" w:rsidP="0000430A">
      <w:pPr>
        <w:rPr>
          <w:szCs w:val="20"/>
        </w:rPr>
      </w:pPr>
      <w:r w:rsidRPr="00516AB2">
        <w:rPr>
          <w:szCs w:val="20"/>
        </w:rPr>
        <w:br w:type="page"/>
      </w:r>
    </w:p>
    <w:p w14:paraId="0B3F441E" w14:textId="77777777" w:rsidR="00F17701" w:rsidRPr="00516AB2" w:rsidRDefault="000F5173" w:rsidP="00456473">
      <w:r w:rsidRPr="00516AB2">
        <w:lastRenderedPageBreak/>
        <w:t>DISCLAIMER</w:t>
      </w:r>
    </w:p>
    <w:p w14:paraId="42B82D48" w14:textId="30D378CF" w:rsidR="00F17701" w:rsidRPr="004D7769" w:rsidRDefault="005834DC" w:rsidP="005834DC">
      <w:pPr>
        <w:spacing w:beforeLines="120" w:before="288" w:after="0" w:line="240" w:lineRule="auto"/>
        <w:rPr>
          <w:bCs/>
          <w:sz w:val="14"/>
          <w:szCs w:val="20"/>
        </w:rPr>
      </w:pPr>
      <w:r w:rsidRPr="005834DC">
        <w:rPr>
          <w:bCs/>
          <w:i/>
          <w:sz w:val="14"/>
          <w:szCs w:val="20"/>
        </w:rPr>
        <w:t>Este documento (caracterizado como relatório, parecer ou análise)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em fontes públ</w:t>
      </w:r>
      <w:r>
        <w:rPr>
          <w:bCs/>
          <w:i/>
          <w:sz w:val="14"/>
          <w:szCs w:val="20"/>
        </w:rPr>
        <w:t xml:space="preserve">icas e que julgamos confiáveis. </w:t>
      </w:r>
      <w:r w:rsidRPr="005834DC">
        <w:rPr>
          <w:bCs/>
          <w:i/>
          <w:sz w:val="14"/>
          <w:szCs w:val="20"/>
        </w:rPr>
        <w:t>A utilização destas informações em suas tomadas de decisão e consequentes perdas e ganhos não nos torna responsáveis diretos. As informações aqui contidas não representam garantia de exatidão das informações prestadas ou julgamento sobre a qualidade das mesmas, e não de</w:t>
      </w:r>
      <w:r>
        <w:rPr>
          <w:bCs/>
          <w:i/>
          <w:sz w:val="14"/>
          <w:szCs w:val="20"/>
        </w:rPr>
        <w:t xml:space="preserve">vem ser consideradas como tais. </w:t>
      </w:r>
      <w:r w:rsidRPr="005834DC">
        <w:rPr>
          <w:bCs/>
          <w:i/>
          <w:sz w:val="14"/>
          <w:szCs w:val="20"/>
        </w:rPr>
        <w:t>As informações deste documento estão em consonância com as informações sobre os produtos mencionados, entretanto não substituem seus materiais oficiais, como regulamentos e prospectos de divulgação. É recomendada a leitura cuidadosa destes materiais, com especial atenção para as cláusulas relativas ao objetivo, ao risco e à política de investimento dos produtos. Todas as informações podem ser obtidas com o responsável pela distribuição ou no site da CVM (Comissão de Valores Mobiliários)</w:t>
      </w:r>
      <w:r>
        <w:rPr>
          <w:bCs/>
          <w:i/>
          <w:sz w:val="14"/>
          <w:szCs w:val="20"/>
        </w:rPr>
        <w:t xml:space="preserve">. </w:t>
      </w:r>
      <w:r w:rsidRPr="005834DC">
        <w:rPr>
          <w:bCs/>
          <w:i/>
          <w:sz w:val="14"/>
          <w:szCs w:val="20"/>
        </w:rPr>
        <w:t>Sua elaboração buscou atender os objetivos de investimentos do cliente, considerando a sua situação financeira e seu perfil.</w:t>
      </w:r>
      <w:r>
        <w:rPr>
          <w:bCs/>
          <w:i/>
          <w:sz w:val="14"/>
          <w:szCs w:val="20"/>
        </w:rPr>
        <w:t xml:space="preserve"> </w:t>
      </w:r>
      <w:r w:rsidRPr="005834DC">
        <w:rPr>
          <w:bCs/>
          <w:i/>
          <w:sz w:val="14"/>
          <w:szCs w:val="20"/>
        </w:rPr>
        <w:t>A rentabilidade obtida no passado não representa garantia de rentabilidade futura e os produtos estruturados e/ou de longo prazo possuem, além da volatilidade, riscos associados à sua carteira de crédito e estruturação. Os riscos inerentes aos diversos tipos de operações com valores mobiliários de bolsa, balcão, nos mercados de liquidação futura e de derivativos, podem resultar em perdas aos investimentos realizados, bem como o inverso proporcionalmente. Todos e qualquer valor exibido está representado em Real (BRL) e para os cálculos, foram utilizadas observações diárias, sendo sua fonte o Sistema Quantum Axis e a CVM.</w:t>
      </w:r>
      <w:r>
        <w:rPr>
          <w:bCs/>
          <w:i/>
          <w:sz w:val="14"/>
          <w:szCs w:val="20"/>
        </w:rPr>
        <w:t xml:space="preserve"> </w:t>
      </w:r>
      <w:r w:rsidRPr="005834DC">
        <w:rPr>
          <w:bCs/>
          <w:i/>
          <w:sz w:val="14"/>
          <w:szCs w:val="20"/>
        </w:rPr>
        <w:t>A contratação de empresa de consultoria de valores mobiliários para a emissão deste documento não assegura ou sugere a existência de garantia de resultados futuros ou a isenção de risco.</w:t>
      </w:r>
      <w:r>
        <w:rPr>
          <w:bCs/>
          <w:i/>
          <w:sz w:val="14"/>
          <w:szCs w:val="20"/>
        </w:rPr>
        <w:t xml:space="preserve"> </w:t>
      </w:r>
      <w:r w:rsidRPr="005834DC">
        <w:rPr>
          <w:bCs/>
          <w:i/>
          <w:sz w:val="14"/>
          <w:szCs w:val="20"/>
        </w:rPr>
        <w:t xml:space="preserve">Os RPPS devem estar adequados às normativas pertinentes e principalmente a Portaria nº 519, de 24 de agosto de 2011 e suas alterações, além da Resolução CMN nº </w:t>
      </w:r>
      <w:r w:rsidR="00C21E5E">
        <w:rPr>
          <w:bCs/>
          <w:i/>
          <w:sz w:val="14"/>
          <w:szCs w:val="20"/>
        </w:rPr>
        <w:t>4.963</w:t>
      </w:r>
      <w:r w:rsidRPr="005834DC">
        <w:rPr>
          <w:bCs/>
          <w:i/>
          <w:sz w:val="14"/>
          <w:szCs w:val="20"/>
        </w:rPr>
        <w:t xml:space="preserve"> de 25 de novembro de 20</w:t>
      </w:r>
      <w:r w:rsidR="00C21E5E">
        <w:rPr>
          <w:bCs/>
          <w:i/>
          <w:sz w:val="14"/>
          <w:szCs w:val="20"/>
        </w:rPr>
        <w:t>21</w:t>
      </w:r>
      <w:r w:rsidRPr="005834DC">
        <w:rPr>
          <w:bCs/>
          <w:i/>
          <w:sz w:val="14"/>
          <w:szCs w:val="20"/>
        </w:rPr>
        <w:t xml:space="preserve"> e suas alterações, que dispõem sobre as aplicações dos recursos financeiros dos Regimes Próprios de Previdência Social, instituídos pela União, Estados, Distrito Federal e Municípios e dá outras providências.</w:t>
      </w:r>
    </w:p>
    <w:sectPr w:rsidR="00F17701" w:rsidRPr="004D7769" w:rsidSect="005F15DD">
      <w:headerReference w:type="default" r:id="rId13"/>
      <w:footerReference w:type="default" r:id="rId14"/>
      <w:pgSz w:w="11906" w:h="16838" w:code="9"/>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47CDA" w14:textId="77777777" w:rsidR="00C07AFB" w:rsidRDefault="00C07AFB" w:rsidP="00D87426">
      <w:pPr>
        <w:spacing w:after="0" w:line="240" w:lineRule="auto"/>
      </w:pPr>
      <w:r>
        <w:separator/>
      </w:r>
    </w:p>
  </w:endnote>
  <w:endnote w:type="continuationSeparator" w:id="0">
    <w:p w14:paraId="00465751" w14:textId="77777777" w:rsidR="00C07AFB" w:rsidRDefault="00C07AFB" w:rsidP="00D87426">
      <w:pPr>
        <w:spacing w:after="0" w:line="240" w:lineRule="auto"/>
      </w:pPr>
      <w:r>
        <w:continuationSeparator/>
      </w:r>
    </w:p>
  </w:endnote>
  <w:endnote w:type="continuationNotice" w:id="1">
    <w:p w14:paraId="2F46956C" w14:textId="77777777" w:rsidR="00C07AFB" w:rsidRDefault="00C07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C6313" w14:textId="77777777" w:rsidR="009260E0" w:rsidRDefault="009260E0">
    <w:pPr>
      <w:pStyle w:val="Rodap"/>
      <w:jc w:val="right"/>
    </w:pPr>
    <w:r>
      <w:t xml:space="preserve">p. </w:t>
    </w:r>
    <w:sdt>
      <w:sdtPr>
        <w:id w:val="-28193300"/>
        <w:docPartObj>
          <w:docPartGallery w:val="Page Numbers (Bottom of Page)"/>
          <w:docPartUnique/>
        </w:docPartObj>
      </w:sdtPr>
      <w:sdtEndPr/>
      <w:sdtContent>
        <w:r>
          <w:fldChar w:fldCharType="begin"/>
        </w:r>
        <w:r>
          <w:instrText>PAGE   \* MERGEFORMAT</w:instrText>
        </w:r>
        <w:r>
          <w:fldChar w:fldCharType="separate"/>
        </w:r>
        <w:r w:rsidR="00321940">
          <w:rPr>
            <w:noProof/>
          </w:rPr>
          <w:t>36</w:t>
        </w:r>
        <w:r>
          <w:fldChar w:fldCharType="end"/>
        </w:r>
      </w:sdtContent>
    </w:sdt>
  </w:p>
  <w:p w14:paraId="40F1C5FD" w14:textId="77777777" w:rsidR="009260E0" w:rsidRDefault="009260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A820" w14:textId="77777777" w:rsidR="00C07AFB" w:rsidRDefault="00C07AFB" w:rsidP="00D87426">
      <w:pPr>
        <w:spacing w:after="0" w:line="240" w:lineRule="auto"/>
      </w:pPr>
      <w:r>
        <w:separator/>
      </w:r>
    </w:p>
  </w:footnote>
  <w:footnote w:type="continuationSeparator" w:id="0">
    <w:p w14:paraId="4D0DB299" w14:textId="77777777" w:rsidR="00C07AFB" w:rsidRDefault="00C07AFB" w:rsidP="00D87426">
      <w:pPr>
        <w:spacing w:after="0" w:line="240" w:lineRule="auto"/>
      </w:pPr>
      <w:r>
        <w:continuationSeparator/>
      </w:r>
    </w:p>
  </w:footnote>
  <w:footnote w:type="continuationNotice" w:id="1">
    <w:p w14:paraId="3160C771" w14:textId="77777777" w:rsidR="00C07AFB" w:rsidRDefault="00C07A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3BD1" w14:textId="120A78F2" w:rsidR="009260E0" w:rsidRDefault="009260E0">
    <w:pPr>
      <w:pStyle w:val="Cabealho"/>
    </w:pPr>
    <w:r w:rsidRPr="00D87426">
      <w:rPr>
        <w:noProof/>
        <w:lang w:eastAsia="pt-BR"/>
      </w:rPr>
      <mc:AlternateContent>
        <mc:Choice Requires="wps">
          <w:drawing>
            <wp:anchor distT="0" distB="0" distL="114300" distR="114300" simplePos="0" relativeHeight="251658240" behindDoc="0" locked="0" layoutInCell="1" allowOverlap="1" wp14:anchorId="127E18C2" wp14:editId="067E7CBB">
              <wp:simplePos x="0" y="0"/>
              <wp:positionH relativeFrom="column">
                <wp:posOffset>-1084580</wp:posOffset>
              </wp:positionH>
              <wp:positionV relativeFrom="paragraph">
                <wp:posOffset>375285</wp:posOffset>
              </wp:positionV>
              <wp:extent cx="7415213" cy="280035"/>
              <wp:effectExtent l="0" t="0" r="0" b="571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5213" cy="280035"/>
                      </a:xfrm>
                      <a:prstGeom prst="rect">
                        <a:avLst/>
                      </a:prstGeom>
                      <a:noFill/>
                      <a:ln w="9525">
                        <a:noFill/>
                        <a:miter lim="800000"/>
                        <a:headEnd/>
                        <a:tailEnd/>
                      </a:ln>
                    </wps:spPr>
                    <wps:txbx>
                      <w:txbxContent>
                        <w:p w14:paraId="3C30C886" w14:textId="77777777" w:rsidR="009260E0" w:rsidRPr="00EB57E9" w:rsidRDefault="009260E0" w:rsidP="00C7281C">
                          <w:pPr>
                            <w:jc w:val="right"/>
                            <w:rPr>
                              <w:rFonts w:ascii="Calibri" w:hAnsi="Calibri"/>
                              <w:b/>
                              <w:bCs/>
                              <w:color w:val="ED7D31" w:themeColor="accent2"/>
                              <w:szCs w:val="36"/>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27E18C2" id="_x0000_t202" coordsize="21600,21600" o:spt="202" path="m,l,21600r21600,l21600,xe">
              <v:stroke joinstyle="miter"/>
              <v:path gradientshapeok="t" o:connecttype="rect"/>
            </v:shapetype>
            <v:shape id="Caixa de Texto 2" o:spid="_x0000_s1026" type="#_x0000_t202" style="position:absolute;left:0;text-align:left;margin-left:-85.4pt;margin-top:29.55pt;width:583.9pt;height:22.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" filled="f" stroked="f">
              <v:textbox>
                <w:txbxContent>
                  <w:p w14:paraId="3C30C886" w14:textId="77777777" w:rsidR="00B136BD" w:rsidRPr="00EB57E9" w:rsidRDefault="00B136BD" w:rsidP="00C7281C">
                    <w:pPr>
                      <w:jc w:val="right"/>
                      <w:rPr>
                        <w:rFonts w:ascii="Calibri" w:hAnsi="Calibri"/>
                        <w:b/>
                        <w:bCs/>
                        <w:color w:val="ED7D31" w:themeColor="accent2"/>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0D8C"/>
    <w:multiLevelType w:val="multilevel"/>
    <w:tmpl w:val="B9FEF59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600115"/>
    <w:multiLevelType w:val="hybridMultilevel"/>
    <w:tmpl w:val="56B24E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6BE2"/>
    <w:multiLevelType w:val="hybridMultilevel"/>
    <w:tmpl w:val="FFF02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36B8A"/>
    <w:multiLevelType w:val="multilevel"/>
    <w:tmpl w:val="DBB6910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540F24"/>
    <w:multiLevelType w:val="hybridMultilevel"/>
    <w:tmpl w:val="F3BAD3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D8012D"/>
    <w:multiLevelType w:val="hybridMultilevel"/>
    <w:tmpl w:val="EEACD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C04246"/>
    <w:multiLevelType w:val="hybridMultilevel"/>
    <w:tmpl w:val="6E88E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FB4C42"/>
    <w:multiLevelType w:val="hybridMultilevel"/>
    <w:tmpl w:val="71EE4B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614736"/>
    <w:multiLevelType w:val="hybridMultilevel"/>
    <w:tmpl w:val="2D849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F29E0"/>
    <w:multiLevelType w:val="hybridMultilevel"/>
    <w:tmpl w:val="5E1EFD1C"/>
    <w:lvl w:ilvl="0" w:tplc="BAE0D1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897286"/>
    <w:multiLevelType w:val="hybridMultilevel"/>
    <w:tmpl w:val="87C644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233CA0"/>
    <w:multiLevelType w:val="multilevel"/>
    <w:tmpl w:val="D8E68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5D2722"/>
    <w:multiLevelType w:val="hybridMultilevel"/>
    <w:tmpl w:val="183AE5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847E9E"/>
    <w:multiLevelType w:val="hybridMultilevel"/>
    <w:tmpl w:val="B1F21792"/>
    <w:lvl w:ilvl="0" w:tplc="5052E41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1215B6"/>
    <w:multiLevelType w:val="hybridMultilevel"/>
    <w:tmpl w:val="4E3CB2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D41D18"/>
    <w:multiLevelType w:val="hybridMultilevel"/>
    <w:tmpl w:val="B1D82E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429F"/>
    <w:multiLevelType w:val="hybridMultilevel"/>
    <w:tmpl w:val="1B669F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0D0C"/>
    <w:multiLevelType w:val="hybridMultilevel"/>
    <w:tmpl w:val="5A9433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1D381E"/>
    <w:multiLevelType w:val="hybridMultilevel"/>
    <w:tmpl w:val="0FCED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6851C0"/>
    <w:multiLevelType w:val="hybridMultilevel"/>
    <w:tmpl w:val="11600A6E"/>
    <w:lvl w:ilvl="0" w:tplc="04160017">
      <w:start w:val="1"/>
      <w:numFmt w:val="lowerLetter"/>
      <w:lvlText w:val="%1)"/>
      <w:lvlJc w:val="left"/>
      <w:pPr>
        <w:ind w:left="764" w:hanging="360"/>
      </w:pPr>
    </w:lvl>
    <w:lvl w:ilvl="1" w:tplc="04160019" w:tentative="1">
      <w:start w:val="1"/>
      <w:numFmt w:val="lowerLetter"/>
      <w:lvlText w:val="%2."/>
      <w:lvlJc w:val="left"/>
      <w:pPr>
        <w:ind w:left="1484" w:hanging="360"/>
      </w:pPr>
    </w:lvl>
    <w:lvl w:ilvl="2" w:tplc="0416001B" w:tentative="1">
      <w:start w:val="1"/>
      <w:numFmt w:val="lowerRoman"/>
      <w:lvlText w:val="%3."/>
      <w:lvlJc w:val="right"/>
      <w:pPr>
        <w:ind w:left="2204" w:hanging="180"/>
      </w:pPr>
    </w:lvl>
    <w:lvl w:ilvl="3" w:tplc="0416000F" w:tentative="1">
      <w:start w:val="1"/>
      <w:numFmt w:val="decimal"/>
      <w:lvlText w:val="%4."/>
      <w:lvlJc w:val="left"/>
      <w:pPr>
        <w:ind w:left="2924" w:hanging="360"/>
      </w:pPr>
    </w:lvl>
    <w:lvl w:ilvl="4" w:tplc="04160019" w:tentative="1">
      <w:start w:val="1"/>
      <w:numFmt w:val="lowerLetter"/>
      <w:lvlText w:val="%5."/>
      <w:lvlJc w:val="left"/>
      <w:pPr>
        <w:ind w:left="3644" w:hanging="360"/>
      </w:pPr>
    </w:lvl>
    <w:lvl w:ilvl="5" w:tplc="0416001B" w:tentative="1">
      <w:start w:val="1"/>
      <w:numFmt w:val="lowerRoman"/>
      <w:lvlText w:val="%6."/>
      <w:lvlJc w:val="right"/>
      <w:pPr>
        <w:ind w:left="4364" w:hanging="180"/>
      </w:pPr>
    </w:lvl>
    <w:lvl w:ilvl="6" w:tplc="0416000F" w:tentative="1">
      <w:start w:val="1"/>
      <w:numFmt w:val="decimal"/>
      <w:lvlText w:val="%7."/>
      <w:lvlJc w:val="left"/>
      <w:pPr>
        <w:ind w:left="5084" w:hanging="360"/>
      </w:pPr>
    </w:lvl>
    <w:lvl w:ilvl="7" w:tplc="04160019" w:tentative="1">
      <w:start w:val="1"/>
      <w:numFmt w:val="lowerLetter"/>
      <w:lvlText w:val="%8."/>
      <w:lvlJc w:val="left"/>
      <w:pPr>
        <w:ind w:left="5804" w:hanging="360"/>
      </w:pPr>
    </w:lvl>
    <w:lvl w:ilvl="8" w:tplc="0416001B" w:tentative="1">
      <w:start w:val="1"/>
      <w:numFmt w:val="lowerRoman"/>
      <w:lvlText w:val="%9."/>
      <w:lvlJc w:val="right"/>
      <w:pPr>
        <w:ind w:left="6524" w:hanging="180"/>
      </w:pPr>
    </w:lvl>
  </w:abstractNum>
  <w:abstractNum w:abstractNumId="21" w15:restartNumberingAfterBreak="0">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2" w15:restartNumberingAfterBreak="0">
    <w:nsid w:val="50B97CCC"/>
    <w:multiLevelType w:val="hybridMultilevel"/>
    <w:tmpl w:val="CFDA6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252D97"/>
    <w:multiLevelType w:val="hybridMultilevel"/>
    <w:tmpl w:val="8A1E09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2F79B1"/>
    <w:multiLevelType w:val="hybridMultilevel"/>
    <w:tmpl w:val="8196FC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877"/>
    <w:multiLevelType w:val="hybridMultilevel"/>
    <w:tmpl w:val="64520D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B07BD"/>
    <w:multiLevelType w:val="hybridMultilevel"/>
    <w:tmpl w:val="39E2FE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F71B65"/>
    <w:multiLevelType w:val="hybridMultilevel"/>
    <w:tmpl w:val="6310D4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C4232A"/>
    <w:multiLevelType w:val="hybridMultilevel"/>
    <w:tmpl w:val="53728E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D21BE1"/>
    <w:multiLevelType w:val="hybridMultilevel"/>
    <w:tmpl w:val="817E6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F516A0"/>
    <w:multiLevelType w:val="hybridMultilevel"/>
    <w:tmpl w:val="463611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80379FB"/>
    <w:multiLevelType w:val="hybridMultilevel"/>
    <w:tmpl w:val="A9B2C0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3" w15:restartNumberingAfterBreak="0">
    <w:nsid w:val="69BB6AB1"/>
    <w:multiLevelType w:val="multilevel"/>
    <w:tmpl w:val="134CC3A6"/>
    <w:lvl w:ilvl="0">
      <w:start w:val="1"/>
      <w:numFmt w:val="decimal"/>
      <w:pStyle w:val="Ttulo1"/>
      <w:lvlText w:val="%1"/>
      <w:lvlJc w:val="left"/>
      <w:pPr>
        <w:ind w:left="999" w:hanging="432"/>
      </w:pPr>
    </w:lvl>
    <w:lvl w:ilvl="1">
      <w:start w:val="1"/>
      <w:numFmt w:val="decimal"/>
      <w:pStyle w:val="Ttulo2"/>
      <w:lvlText w:val="%1.%2"/>
      <w:lvlJc w:val="left"/>
      <w:pPr>
        <w:ind w:left="1143" w:hanging="576"/>
      </w:pPr>
    </w:lvl>
    <w:lvl w:ilvl="2">
      <w:start w:val="1"/>
      <w:numFmt w:val="decimal"/>
      <w:pStyle w:val="Ttulo3"/>
      <w:lvlText w:val="%1.%2.%3"/>
      <w:lvlJc w:val="left"/>
      <w:pPr>
        <w:ind w:left="1287" w:hanging="720"/>
      </w:pPr>
    </w:lvl>
    <w:lvl w:ilvl="3">
      <w:start w:val="1"/>
      <w:numFmt w:val="decimal"/>
      <w:pStyle w:val="Ttulo4"/>
      <w:lvlText w:val="%1.%2.%3.%4"/>
      <w:lvlJc w:val="left"/>
      <w:pPr>
        <w:ind w:left="1431" w:hanging="864"/>
      </w:pPr>
    </w:lvl>
    <w:lvl w:ilvl="4">
      <w:start w:val="1"/>
      <w:numFmt w:val="decimal"/>
      <w:pStyle w:val="Ttulo5"/>
      <w:lvlText w:val="%1.%2.%3.%4.%5"/>
      <w:lvlJc w:val="left"/>
      <w:pPr>
        <w:ind w:left="1575" w:hanging="1008"/>
      </w:pPr>
    </w:lvl>
    <w:lvl w:ilvl="5">
      <w:start w:val="1"/>
      <w:numFmt w:val="decimal"/>
      <w:pStyle w:val="Ttulo6"/>
      <w:lvlText w:val="%1.%2.%3.%4.%5.%6"/>
      <w:lvlJc w:val="left"/>
      <w:pPr>
        <w:ind w:left="1719" w:hanging="1152"/>
      </w:pPr>
    </w:lvl>
    <w:lvl w:ilvl="6">
      <w:start w:val="1"/>
      <w:numFmt w:val="decimal"/>
      <w:pStyle w:val="Ttulo7"/>
      <w:lvlText w:val="%1.%2.%3.%4.%5.%6.%7"/>
      <w:lvlJc w:val="left"/>
      <w:pPr>
        <w:ind w:left="1863" w:hanging="1296"/>
      </w:pPr>
    </w:lvl>
    <w:lvl w:ilvl="7">
      <w:start w:val="1"/>
      <w:numFmt w:val="decimal"/>
      <w:pStyle w:val="Ttulo8"/>
      <w:lvlText w:val="%1.%2.%3.%4.%5.%6.%7.%8"/>
      <w:lvlJc w:val="left"/>
      <w:pPr>
        <w:ind w:left="2007" w:hanging="1440"/>
      </w:pPr>
    </w:lvl>
    <w:lvl w:ilvl="8">
      <w:start w:val="1"/>
      <w:numFmt w:val="decimal"/>
      <w:pStyle w:val="Ttulo9"/>
      <w:lvlText w:val="%1.%2.%3.%4.%5.%6.%7.%8.%9"/>
      <w:lvlJc w:val="left"/>
      <w:pPr>
        <w:ind w:left="2151" w:hanging="1584"/>
      </w:pPr>
    </w:lvl>
  </w:abstractNum>
  <w:abstractNum w:abstractNumId="34" w15:restartNumberingAfterBreak="0">
    <w:nsid w:val="6CBA7331"/>
    <w:multiLevelType w:val="hybridMultilevel"/>
    <w:tmpl w:val="FE6075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56518F"/>
    <w:multiLevelType w:val="hybridMultilevel"/>
    <w:tmpl w:val="024A3A74"/>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33B74C8"/>
    <w:multiLevelType w:val="hybridMultilevel"/>
    <w:tmpl w:val="EA58BD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BA07B1"/>
    <w:multiLevelType w:val="hybridMultilevel"/>
    <w:tmpl w:val="621EAE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546B9D"/>
    <w:multiLevelType w:val="hybridMultilevel"/>
    <w:tmpl w:val="75E8C3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C539CE"/>
    <w:multiLevelType w:val="hybridMultilevel"/>
    <w:tmpl w:val="8E7A4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3E2283"/>
    <w:multiLevelType w:val="hybridMultilevel"/>
    <w:tmpl w:val="56B270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CC021C"/>
    <w:multiLevelType w:val="hybridMultilevel"/>
    <w:tmpl w:val="246EF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2C1EEC"/>
    <w:multiLevelType w:val="hybridMultilevel"/>
    <w:tmpl w:val="EAA698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E654E05"/>
    <w:multiLevelType w:val="hybridMultilevel"/>
    <w:tmpl w:val="94BEA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21"/>
  </w:num>
  <w:num w:numId="4">
    <w:abstractNumId w:val="1"/>
  </w:num>
  <w:num w:numId="5">
    <w:abstractNumId w:val="22"/>
  </w:num>
  <w:num w:numId="6">
    <w:abstractNumId w:val="26"/>
  </w:num>
  <w:num w:numId="7">
    <w:abstractNumId w:val="10"/>
  </w:num>
  <w:num w:numId="8">
    <w:abstractNumId w:val="20"/>
  </w:num>
  <w:num w:numId="9">
    <w:abstractNumId w:val="29"/>
  </w:num>
  <w:num w:numId="10">
    <w:abstractNumId w:val="3"/>
  </w:num>
  <w:num w:numId="11">
    <w:abstractNumId w:val="8"/>
  </w:num>
  <w:num w:numId="12">
    <w:abstractNumId w:val="31"/>
  </w:num>
  <w:num w:numId="13">
    <w:abstractNumId w:val="6"/>
  </w:num>
  <w:num w:numId="14">
    <w:abstractNumId w:val="9"/>
  </w:num>
  <w:num w:numId="15">
    <w:abstractNumId w:val="25"/>
  </w:num>
  <w:num w:numId="16">
    <w:abstractNumId w:val="12"/>
  </w:num>
  <w:num w:numId="17">
    <w:abstractNumId w:val="0"/>
  </w:num>
  <w:num w:numId="18">
    <w:abstractNumId w:val="4"/>
  </w:num>
  <w:num w:numId="19">
    <w:abstractNumId w:val="33"/>
  </w:num>
  <w:num w:numId="20">
    <w:abstractNumId w:val="19"/>
  </w:num>
  <w:num w:numId="21">
    <w:abstractNumId w:val="14"/>
  </w:num>
  <w:num w:numId="22">
    <w:abstractNumId w:val="24"/>
  </w:num>
  <w:num w:numId="23">
    <w:abstractNumId w:val="16"/>
  </w:num>
  <w:num w:numId="24">
    <w:abstractNumId w:val="13"/>
  </w:num>
  <w:num w:numId="25">
    <w:abstractNumId w:val="37"/>
  </w:num>
  <w:num w:numId="26">
    <w:abstractNumId w:val="15"/>
  </w:num>
  <w:num w:numId="27">
    <w:abstractNumId w:val="40"/>
  </w:num>
  <w:num w:numId="28">
    <w:abstractNumId w:val="7"/>
  </w:num>
  <w:num w:numId="29">
    <w:abstractNumId w:val="34"/>
  </w:num>
  <w:num w:numId="30">
    <w:abstractNumId w:val="28"/>
  </w:num>
  <w:num w:numId="31">
    <w:abstractNumId w:val="23"/>
  </w:num>
  <w:num w:numId="32">
    <w:abstractNumId w:val="2"/>
  </w:num>
  <w:num w:numId="33">
    <w:abstractNumId w:val="11"/>
  </w:num>
  <w:num w:numId="34">
    <w:abstractNumId w:val="30"/>
  </w:num>
  <w:num w:numId="35">
    <w:abstractNumId w:val="38"/>
  </w:num>
  <w:num w:numId="36">
    <w:abstractNumId w:val="42"/>
  </w:num>
  <w:num w:numId="37">
    <w:abstractNumId w:val="43"/>
  </w:num>
  <w:num w:numId="38">
    <w:abstractNumId w:val="5"/>
  </w:num>
  <w:num w:numId="39">
    <w:abstractNumId w:val="18"/>
  </w:num>
  <w:num w:numId="40">
    <w:abstractNumId w:val="27"/>
  </w:num>
  <w:num w:numId="41">
    <w:abstractNumId w:val="36"/>
  </w:num>
  <w:num w:numId="42">
    <w:abstractNumId w:val="17"/>
  </w:num>
  <w:num w:numId="43">
    <w:abstractNumId w:val="39"/>
  </w:num>
  <w:num w:numId="44">
    <w:abstractNumId w:val="4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26"/>
    <w:rsid w:val="00001531"/>
    <w:rsid w:val="00001752"/>
    <w:rsid w:val="00002414"/>
    <w:rsid w:val="0000430A"/>
    <w:rsid w:val="000051A8"/>
    <w:rsid w:val="00006300"/>
    <w:rsid w:val="000069E9"/>
    <w:rsid w:val="00007C58"/>
    <w:rsid w:val="000114D4"/>
    <w:rsid w:val="000130F2"/>
    <w:rsid w:val="00013199"/>
    <w:rsid w:val="000165AB"/>
    <w:rsid w:val="00017240"/>
    <w:rsid w:val="00022C56"/>
    <w:rsid w:val="00032326"/>
    <w:rsid w:val="00035A9E"/>
    <w:rsid w:val="00036F1A"/>
    <w:rsid w:val="00041032"/>
    <w:rsid w:val="00042680"/>
    <w:rsid w:val="0004667F"/>
    <w:rsid w:val="00046A88"/>
    <w:rsid w:val="000502A2"/>
    <w:rsid w:val="00051D96"/>
    <w:rsid w:val="0005223A"/>
    <w:rsid w:val="0005538B"/>
    <w:rsid w:val="0005584C"/>
    <w:rsid w:val="0005662C"/>
    <w:rsid w:val="00062581"/>
    <w:rsid w:val="00062EFA"/>
    <w:rsid w:val="00064A98"/>
    <w:rsid w:val="00067097"/>
    <w:rsid w:val="00067207"/>
    <w:rsid w:val="00072BC9"/>
    <w:rsid w:val="000730D9"/>
    <w:rsid w:val="000740D8"/>
    <w:rsid w:val="00075094"/>
    <w:rsid w:val="00084BB6"/>
    <w:rsid w:val="000875DA"/>
    <w:rsid w:val="00093428"/>
    <w:rsid w:val="000951A6"/>
    <w:rsid w:val="0009599D"/>
    <w:rsid w:val="000A1FAB"/>
    <w:rsid w:val="000A2062"/>
    <w:rsid w:val="000A2B92"/>
    <w:rsid w:val="000A43D8"/>
    <w:rsid w:val="000A54AE"/>
    <w:rsid w:val="000A5C64"/>
    <w:rsid w:val="000A7BAC"/>
    <w:rsid w:val="000B22EC"/>
    <w:rsid w:val="000B2538"/>
    <w:rsid w:val="000B4827"/>
    <w:rsid w:val="000B5B79"/>
    <w:rsid w:val="000B6B29"/>
    <w:rsid w:val="000C1F2E"/>
    <w:rsid w:val="000C2EE9"/>
    <w:rsid w:val="000C603A"/>
    <w:rsid w:val="000C616C"/>
    <w:rsid w:val="000C757C"/>
    <w:rsid w:val="000C7E83"/>
    <w:rsid w:val="000D0A4A"/>
    <w:rsid w:val="000D22FE"/>
    <w:rsid w:val="000D347A"/>
    <w:rsid w:val="000D3FB8"/>
    <w:rsid w:val="000D5D97"/>
    <w:rsid w:val="000D7345"/>
    <w:rsid w:val="000E1CEA"/>
    <w:rsid w:val="000E26FC"/>
    <w:rsid w:val="000E3476"/>
    <w:rsid w:val="000E41CC"/>
    <w:rsid w:val="000F2EB2"/>
    <w:rsid w:val="000F34EF"/>
    <w:rsid w:val="000F4B93"/>
    <w:rsid w:val="000F5173"/>
    <w:rsid w:val="000F7DE0"/>
    <w:rsid w:val="0010175C"/>
    <w:rsid w:val="00102729"/>
    <w:rsid w:val="00102A45"/>
    <w:rsid w:val="001053F0"/>
    <w:rsid w:val="0010721D"/>
    <w:rsid w:val="00110750"/>
    <w:rsid w:val="0011084C"/>
    <w:rsid w:val="00110ADB"/>
    <w:rsid w:val="00111965"/>
    <w:rsid w:val="00111D7F"/>
    <w:rsid w:val="001131CC"/>
    <w:rsid w:val="001169C3"/>
    <w:rsid w:val="00116A4A"/>
    <w:rsid w:val="00117A3B"/>
    <w:rsid w:val="00120E1C"/>
    <w:rsid w:val="00120ED5"/>
    <w:rsid w:val="0012355F"/>
    <w:rsid w:val="00123714"/>
    <w:rsid w:val="00123C3C"/>
    <w:rsid w:val="0012476E"/>
    <w:rsid w:val="00125CB5"/>
    <w:rsid w:val="0013025D"/>
    <w:rsid w:val="00130B80"/>
    <w:rsid w:val="00130C4B"/>
    <w:rsid w:val="00130C72"/>
    <w:rsid w:val="00130C8F"/>
    <w:rsid w:val="00130CF9"/>
    <w:rsid w:val="00132C38"/>
    <w:rsid w:val="00134F10"/>
    <w:rsid w:val="0013703C"/>
    <w:rsid w:val="001375F4"/>
    <w:rsid w:val="00137B49"/>
    <w:rsid w:val="00142C66"/>
    <w:rsid w:val="00142D4C"/>
    <w:rsid w:val="0014443E"/>
    <w:rsid w:val="001449B6"/>
    <w:rsid w:val="00144BF1"/>
    <w:rsid w:val="0014582B"/>
    <w:rsid w:val="00146721"/>
    <w:rsid w:val="00146E20"/>
    <w:rsid w:val="00147292"/>
    <w:rsid w:val="00150EDE"/>
    <w:rsid w:val="00151408"/>
    <w:rsid w:val="00151B5C"/>
    <w:rsid w:val="00151EFB"/>
    <w:rsid w:val="001541C0"/>
    <w:rsid w:val="001571B0"/>
    <w:rsid w:val="0016091F"/>
    <w:rsid w:val="00161E86"/>
    <w:rsid w:val="00164773"/>
    <w:rsid w:val="00164C96"/>
    <w:rsid w:val="00165CF9"/>
    <w:rsid w:val="00166AD3"/>
    <w:rsid w:val="001703D0"/>
    <w:rsid w:val="00172AE2"/>
    <w:rsid w:val="00172B04"/>
    <w:rsid w:val="0018613B"/>
    <w:rsid w:val="0018680A"/>
    <w:rsid w:val="00190244"/>
    <w:rsid w:val="00191914"/>
    <w:rsid w:val="0019438D"/>
    <w:rsid w:val="0019501E"/>
    <w:rsid w:val="00195299"/>
    <w:rsid w:val="0019533F"/>
    <w:rsid w:val="001967A1"/>
    <w:rsid w:val="00197355"/>
    <w:rsid w:val="00197C43"/>
    <w:rsid w:val="001A112E"/>
    <w:rsid w:val="001A1DD5"/>
    <w:rsid w:val="001A29C0"/>
    <w:rsid w:val="001A34F9"/>
    <w:rsid w:val="001A445A"/>
    <w:rsid w:val="001A464C"/>
    <w:rsid w:val="001A54FA"/>
    <w:rsid w:val="001A579B"/>
    <w:rsid w:val="001A6EB3"/>
    <w:rsid w:val="001B0DDD"/>
    <w:rsid w:val="001C12E3"/>
    <w:rsid w:val="001C244B"/>
    <w:rsid w:val="001C4846"/>
    <w:rsid w:val="001C49C4"/>
    <w:rsid w:val="001C552D"/>
    <w:rsid w:val="001C6638"/>
    <w:rsid w:val="001C6985"/>
    <w:rsid w:val="001D3E21"/>
    <w:rsid w:val="001D4A84"/>
    <w:rsid w:val="001D4B47"/>
    <w:rsid w:val="001D64F8"/>
    <w:rsid w:val="001D66B9"/>
    <w:rsid w:val="001E1DB6"/>
    <w:rsid w:val="001E498E"/>
    <w:rsid w:val="001E52A8"/>
    <w:rsid w:val="001E68C4"/>
    <w:rsid w:val="001F46FF"/>
    <w:rsid w:val="001F62BB"/>
    <w:rsid w:val="00200082"/>
    <w:rsid w:val="002013AA"/>
    <w:rsid w:val="00201799"/>
    <w:rsid w:val="002017B4"/>
    <w:rsid w:val="00201956"/>
    <w:rsid w:val="002030B6"/>
    <w:rsid w:val="002031E1"/>
    <w:rsid w:val="0020440E"/>
    <w:rsid w:val="00206F8B"/>
    <w:rsid w:val="002074D1"/>
    <w:rsid w:val="00211C8C"/>
    <w:rsid w:val="0021396B"/>
    <w:rsid w:val="00214DF1"/>
    <w:rsid w:val="00215BF7"/>
    <w:rsid w:val="0021686F"/>
    <w:rsid w:val="00221219"/>
    <w:rsid w:val="00221890"/>
    <w:rsid w:val="00222395"/>
    <w:rsid w:val="00226D97"/>
    <w:rsid w:val="00227C9E"/>
    <w:rsid w:val="00227CDB"/>
    <w:rsid w:val="00230737"/>
    <w:rsid w:val="002330DA"/>
    <w:rsid w:val="00233DF8"/>
    <w:rsid w:val="0023497A"/>
    <w:rsid w:val="002375DC"/>
    <w:rsid w:val="0023768F"/>
    <w:rsid w:val="00240597"/>
    <w:rsid w:val="00242905"/>
    <w:rsid w:val="00244E1F"/>
    <w:rsid w:val="00245088"/>
    <w:rsid w:val="00245763"/>
    <w:rsid w:val="0024648B"/>
    <w:rsid w:val="0024734E"/>
    <w:rsid w:val="00247F55"/>
    <w:rsid w:val="00251077"/>
    <w:rsid w:val="00253CFA"/>
    <w:rsid w:val="00254E9E"/>
    <w:rsid w:val="00255F83"/>
    <w:rsid w:val="0025605B"/>
    <w:rsid w:val="002577BB"/>
    <w:rsid w:val="002611B6"/>
    <w:rsid w:val="0026139D"/>
    <w:rsid w:val="00261872"/>
    <w:rsid w:val="0026433E"/>
    <w:rsid w:val="00264EA1"/>
    <w:rsid w:val="00265547"/>
    <w:rsid w:val="00266148"/>
    <w:rsid w:val="00267529"/>
    <w:rsid w:val="00267D40"/>
    <w:rsid w:val="00270C08"/>
    <w:rsid w:val="00272055"/>
    <w:rsid w:val="0027235A"/>
    <w:rsid w:val="00272363"/>
    <w:rsid w:val="0028014E"/>
    <w:rsid w:val="00282A92"/>
    <w:rsid w:val="00284805"/>
    <w:rsid w:val="002879D5"/>
    <w:rsid w:val="00291336"/>
    <w:rsid w:val="002917B3"/>
    <w:rsid w:val="00293086"/>
    <w:rsid w:val="00293458"/>
    <w:rsid w:val="002940E5"/>
    <w:rsid w:val="0029598B"/>
    <w:rsid w:val="00295E60"/>
    <w:rsid w:val="00295EB7"/>
    <w:rsid w:val="0029719B"/>
    <w:rsid w:val="002A45F5"/>
    <w:rsid w:val="002A4F88"/>
    <w:rsid w:val="002A4F9C"/>
    <w:rsid w:val="002A5530"/>
    <w:rsid w:val="002A5966"/>
    <w:rsid w:val="002A5EF9"/>
    <w:rsid w:val="002A7247"/>
    <w:rsid w:val="002A72ED"/>
    <w:rsid w:val="002B0D96"/>
    <w:rsid w:val="002B12B6"/>
    <w:rsid w:val="002C295F"/>
    <w:rsid w:val="002C2E29"/>
    <w:rsid w:val="002C6BCD"/>
    <w:rsid w:val="002C6FC8"/>
    <w:rsid w:val="002D044B"/>
    <w:rsid w:val="002D34CB"/>
    <w:rsid w:val="002D44D6"/>
    <w:rsid w:val="002D628D"/>
    <w:rsid w:val="002D68D5"/>
    <w:rsid w:val="002D7771"/>
    <w:rsid w:val="002E20B2"/>
    <w:rsid w:val="002E2A7E"/>
    <w:rsid w:val="002E3B5C"/>
    <w:rsid w:val="002E6856"/>
    <w:rsid w:val="002F0B39"/>
    <w:rsid w:val="002F1B8D"/>
    <w:rsid w:val="002F25CA"/>
    <w:rsid w:val="002F3C76"/>
    <w:rsid w:val="002F426A"/>
    <w:rsid w:val="002F635C"/>
    <w:rsid w:val="00300F92"/>
    <w:rsid w:val="00301DFC"/>
    <w:rsid w:val="00302891"/>
    <w:rsid w:val="003032FD"/>
    <w:rsid w:val="00305A24"/>
    <w:rsid w:val="00305EA0"/>
    <w:rsid w:val="003078FB"/>
    <w:rsid w:val="00310039"/>
    <w:rsid w:val="003102DF"/>
    <w:rsid w:val="003118C2"/>
    <w:rsid w:val="00313BA2"/>
    <w:rsid w:val="00314BC0"/>
    <w:rsid w:val="003216D5"/>
    <w:rsid w:val="00321940"/>
    <w:rsid w:val="00322A96"/>
    <w:rsid w:val="003267E0"/>
    <w:rsid w:val="0032689E"/>
    <w:rsid w:val="0033198B"/>
    <w:rsid w:val="00332EC8"/>
    <w:rsid w:val="00334FF8"/>
    <w:rsid w:val="003419EE"/>
    <w:rsid w:val="00342CF5"/>
    <w:rsid w:val="00342CFA"/>
    <w:rsid w:val="0034701E"/>
    <w:rsid w:val="00347B81"/>
    <w:rsid w:val="003500DD"/>
    <w:rsid w:val="0035077B"/>
    <w:rsid w:val="00351C9B"/>
    <w:rsid w:val="00351E63"/>
    <w:rsid w:val="003529A3"/>
    <w:rsid w:val="0036142E"/>
    <w:rsid w:val="003618CE"/>
    <w:rsid w:val="00362EC1"/>
    <w:rsid w:val="003648F2"/>
    <w:rsid w:val="003649CA"/>
    <w:rsid w:val="00365438"/>
    <w:rsid w:val="003662B3"/>
    <w:rsid w:val="003678C4"/>
    <w:rsid w:val="00371465"/>
    <w:rsid w:val="00371486"/>
    <w:rsid w:val="003731FB"/>
    <w:rsid w:val="0037394D"/>
    <w:rsid w:val="00375B10"/>
    <w:rsid w:val="00377FB0"/>
    <w:rsid w:val="003802B6"/>
    <w:rsid w:val="003815CD"/>
    <w:rsid w:val="003817F5"/>
    <w:rsid w:val="00385785"/>
    <w:rsid w:val="00385945"/>
    <w:rsid w:val="00385CB9"/>
    <w:rsid w:val="003903DA"/>
    <w:rsid w:val="00391692"/>
    <w:rsid w:val="00392141"/>
    <w:rsid w:val="00392BDC"/>
    <w:rsid w:val="00395C66"/>
    <w:rsid w:val="00395E77"/>
    <w:rsid w:val="003963B3"/>
    <w:rsid w:val="0039643E"/>
    <w:rsid w:val="003A0B06"/>
    <w:rsid w:val="003A19E5"/>
    <w:rsid w:val="003A30DC"/>
    <w:rsid w:val="003A3849"/>
    <w:rsid w:val="003A3E38"/>
    <w:rsid w:val="003A43B5"/>
    <w:rsid w:val="003A540D"/>
    <w:rsid w:val="003A559D"/>
    <w:rsid w:val="003B05F2"/>
    <w:rsid w:val="003B13E4"/>
    <w:rsid w:val="003B1954"/>
    <w:rsid w:val="003B4049"/>
    <w:rsid w:val="003B4A68"/>
    <w:rsid w:val="003B4B0D"/>
    <w:rsid w:val="003B4FF9"/>
    <w:rsid w:val="003B631E"/>
    <w:rsid w:val="003B7128"/>
    <w:rsid w:val="003B7131"/>
    <w:rsid w:val="003B7580"/>
    <w:rsid w:val="003C0A56"/>
    <w:rsid w:val="003C1058"/>
    <w:rsid w:val="003C2B13"/>
    <w:rsid w:val="003C358A"/>
    <w:rsid w:val="003C3C9A"/>
    <w:rsid w:val="003C3D11"/>
    <w:rsid w:val="003C3F82"/>
    <w:rsid w:val="003C6E94"/>
    <w:rsid w:val="003C6F5C"/>
    <w:rsid w:val="003D189F"/>
    <w:rsid w:val="003D2BF6"/>
    <w:rsid w:val="003D369E"/>
    <w:rsid w:val="003D4523"/>
    <w:rsid w:val="003D4647"/>
    <w:rsid w:val="003D7D91"/>
    <w:rsid w:val="003D7DC2"/>
    <w:rsid w:val="003E5DA8"/>
    <w:rsid w:val="003E6350"/>
    <w:rsid w:val="003E72FF"/>
    <w:rsid w:val="003F24F1"/>
    <w:rsid w:val="003F2A45"/>
    <w:rsid w:val="003F40EB"/>
    <w:rsid w:val="003F6107"/>
    <w:rsid w:val="003F6350"/>
    <w:rsid w:val="003F7755"/>
    <w:rsid w:val="003F78BC"/>
    <w:rsid w:val="003F7EC0"/>
    <w:rsid w:val="004004B8"/>
    <w:rsid w:val="00402C5C"/>
    <w:rsid w:val="00403786"/>
    <w:rsid w:val="0040464A"/>
    <w:rsid w:val="00407BEC"/>
    <w:rsid w:val="00410796"/>
    <w:rsid w:val="00410D87"/>
    <w:rsid w:val="00412C4A"/>
    <w:rsid w:val="00414E5C"/>
    <w:rsid w:val="0041546A"/>
    <w:rsid w:val="004159B4"/>
    <w:rsid w:val="00417094"/>
    <w:rsid w:val="0042217A"/>
    <w:rsid w:val="004247DA"/>
    <w:rsid w:val="00424A9C"/>
    <w:rsid w:val="00425421"/>
    <w:rsid w:val="004273EF"/>
    <w:rsid w:val="0043292F"/>
    <w:rsid w:val="004346E3"/>
    <w:rsid w:val="00435A6C"/>
    <w:rsid w:val="00436782"/>
    <w:rsid w:val="004438C9"/>
    <w:rsid w:val="00444AFB"/>
    <w:rsid w:val="00445B14"/>
    <w:rsid w:val="00446E27"/>
    <w:rsid w:val="004514CE"/>
    <w:rsid w:val="004521E1"/>
    <w:rsid w:val="00456234"/>
    <w:rsid w:val="00456473"/>
    <w:rsid w:val="004569F7"/>
    <w:rsid w:val="0046388B"/>
    <w:rsid w:val="00464747"/>
    <w:rsid w:val="004664B8"/>
    <w:rsid w:val="004703CB"/>
    <w:rsid w:val="004756D9"/>
    <w:rsid w:val="0047675F"/>
    <w:rsid w:val="00476A06"/>
    <w:rsid w:val="00477610"/>
    <w:rsid w:val="00480A35"/>
    <w:rsid w:val="00480F27"/>
    <w:rsid w:val="00483F20"/>
    <w:rsid w:val="00486C62"/>
    <w:rsid w:val="004876B1"/>
    <w:rsid w:val="00490D10"/>
    <w:rsid w:val="0049314C"/>
    <w:rsid w:val="004931F3"/>
    <w:rsid w:val="004969EC"/>
    <w:rsid w:val="00497B8F"/>
    <w:rsid w:val="004A07B9"/>
    <w:rsid w:val="004A0ABB"/>
    <w:rsid w:val="004A0B7A"/>
    <w:rsid w:val="004A1427"/>
    <w:rsid w:val="004A28F3"/>
    <w:rsid w:val="004A2AF2"/>
    <w:rsid w:val="004A2E49"/>
    <w:rsid w:val="004A7FC2"/>
    <w:rsid w:val="004A7FE3"/>
    <w:rsid w:val="004B040B"/>
    <w:rsid w:val="004B1CA4"/>
    <w:rsid w:val="004B2C2B"/>
    <w:rsid w:val="004B3B42"/>
    <w:rsid w:val="004B49BD"/>
    <w:rsid w:val="004B550A"/>
    <w:rsid w:val="004B58EC"/>
    <w:rsid w:val="004B5BDA"/>
    <w:rsid w:val="004C081F"/>
    <w:rsid w:val="004C20AC"/>
    <w:rsid w:val="004C2EC8"/>
    <w:rsid w:val="004C5BF2"/>
    <w:rsid w:val="004D13AD"/>
    <w:rsid w:val="004D1769"/>
    <w:rsid w:val="004D30CD"/>
    <w:rsid w:val="004D32A5"/>
    <w:rsid w:val="004D7769"/>
    <w:rsid w:val="004E0B01"/>
    <w:rsid w:val="004E1136"/>
    <w:rsid w:val="004E31B0"/>
    <w:rsid w:val="004E3522"/>
    <w:rsid w:val="004E39CA"/>
    <w:rsid w:val="004E3F11"/>
    <w:rsid w:val="004E61A8"/>
    <w:rsid w:val="004F058C"/>
    <w:rsid w:val="004F0E55"/>
    <w:rsid w:val="004F1D22"/>
    <w:rsid w:val="004F300F"/>
    <w:rsid w:val="004F3E5F"/>
    <w:rsid w:val="004F41AF"/>
    <w:rsid w:val="004F4596"/>
    <w:rsid w:val="004F5612"/>
    <w:rsid w:val="004F6A72"/>
    <w:rsid w:val="004F72B1"/>
    <w:rsid w:val="004F7E9F"/>
    <w:rsid w:val="005005B1"/>
    <w:rsid w:val="005018EA"/>
    <w:rsid w:val="00503251"/>
    <w:rsid w:val="00505B87"/>
    <w:rsid w:val="0050706A"/>
    <w:rsid w:val="00507D7A"/>
    <w:rsid w:val="00511B94"/>
    <w:rsid w:val="00513FAD"/>
    <w:rsid w:val="005142C2"/>
    <w:rsid w:val="00514DA7"/>
    <w:rsid w:val="00515872"/>
    <w:rsid w:val="00515D67"/>
    <w:rsid w:val="00516AB2"/>
    <w:rsid w:val="0052045D"/>
    <w:rsid w:val="005222CD"/>
    <w:rsid w:val="00524372"/>
    <w:rsid w:val="00524973"/>
    <w:rsid w:val="00524D7B"/>
    <w:rsid w:val="00527DA1"/>
    <w:rsid w:val="0053304F"/>
    <w:rsid w:val="0053365D"/>
    <w:rsid w:val="00535109"/>
    <w:rsid w:val="00537252"/>
    <w:rsid w:val="005376F1"/>
    <w:rsid w:val="00537C0C"/>
    <w:rsid w:val="00540ECF"/>
    <w:rsid w:val="00540FC0"/>
    <w:rsid w:val="005411D4"/>
    <w:rsid w:val="00541E90"/>
    <w:rsid w:val="005425AC"/>
    <w:rsid w:val="0054351B"/>
    <w:rsid w:val="005444FB"/>
    <w:rsid w:val="005454D6"/>
    <w:rsid w:val="00546116"/>
    <w:rsid w:val="005473B7"/>
    <w:rsid w:val="00550129"/>
    <w:rsid w:val="00551224"/>
    <w:rsid w:val="00552A42"/>
    <w:rsid w:val="00555173"/>
    <w:rsid w:val="00555EA4"/>
    <w:rsid w:val="0055718C"/>
    <w:rsid w:val="005601E5"/>
    <w:rsid w:val="00563725"/>
    <w:rsid w:val="00570830"/>
    <w:rsid w:val="00570A54"/>
    <w:rsid w:val="00574B2B"/>
    <w:rsid w:val="005753DA"/>
    <w:rsid w:val="00576270"/>
    <w:rsid w:val="00577000"/>
    <w:rsid w:val="005778E3"/>
    <w:rsid w:val="005829F3"/>
    <w:rsid w:val="005834DC"/>
    <w:rsid w:val="00585565"/>
    <w:rsid w:val="005875C7"/>
    <w:rsid w:val="00587C03"/>
    <w:rsid w:val="005953A0"/>
    <w:rsid w:val="00596F73"/>
    <w:rsid w:val="00597CD8"/>
    <w:rsid w:val="005A75AF"/>
    <w:rsid w:val="005B02F9"/>
    <w:rsid w:val="005B0627"/>
    <w:rsid w:val="005B074D"/>
    <w:rsid w:val="005B28B6"/>
    <w:rsid w:val="005B2FC8"/>
    <w:rsid w:val="005B337D"/>
    <w:rsid w:val="005B3F7F"/>
    <w:rsid w:val="005B4379"/>
    <w:rsid w:val="005B4AA8"/>
    <w:rsid w:val="005B539F"/>
    <w:rsid w:val="005B55E6"/>
    <w:rsid w:val="005B5C59"/>
    <w:rsid w:val="005B5E5B"/>
    <w:rsid w:val="005B67E6"/>
    <w:rsid w:val="005B72A7"/>
    <w:rsid w:val="005C23C1"/>
    <w:rsid w:val="005C6EF1"/>
    <w:rsid w:val="005C7899"/>
    <w:rsid w:val="005D016A"/>
    <w:rsid w:val="005D03A0"/>
    <w:rsid w:val="005D163A"/>
    <w:rsid w:val="005D1E74"/>
    <w:rsid w:val="005D2495"/>
    <w:rsid w:val="005D249A"/>
    <w:rsid w:val="005D6F41"/>
    <w:rsid w:val="005D763E"/>
    <w:rsid w:val="005E022F"/>
    <w:rsid w:val="005E1138"/>
    <w:rsid w:val="005E5062"/>
    <w:rsid w:val="005E529B"/>
    <w:rsid w:val="005E6270"/>
    <w:rsid w:val="005E7795"/>
    <w:rsid w:val="005E7912"/>
    <w:rsid w:val="005F0A08"/>
    <w:rsid w:val="005F0C56"/>
    <w:rsid w:val="005F15DD"/>
    <w:rsid w:val="005F1851"/>
    <w:rsid w:val="005F1B71"/>
    <w:rsid w:val="005F2D9B"/>
    <w:rsid w:val="005F369F"/>
    <w:rsid w:val="006028FF"/>
    <w:rsid w:val="00603BA7"/>
    <w:rsid w:val="00604813"/>
    <w:rsid w:val="0061058C"/>
    <w:rsid w:val="00610EEB"/>
    <w:rsid w:val="00612224"/>
    <w:rsid w:val="00617855"/>
    <w:rsid w:val="00621A57"/>
    <w:rsid w:val="00622815"/>
    <w:rsid w:val="00623676"/>
    <w:rsid w:val="00623FBB"/>
    <w:rsid w:val="00627121"/>
    <w:rsid w:val="006308E7"/>
    <w:rsid w:val="00631E18"/>
    <w:rsid w:val="00633B5A"/>
    <w:rsid w:val="00641428"/>
    <w:rsid w:val="006423A9"/>
    <w:rsid w:val="00643E89"/>
    <w:rsid w:val="0064457A"/>
    <w:rsid w:val="00644A63"/>
    <w:rsid w:val="0064646F"/>
    <w:rsid w:val="00646C22"/>
    <w:rsid w:val="00653CD4"/>
    <w:rsid w:val="00655368"/>
    <w:rsid w:val="00655C90"/>
    <w:rsid w:val="006560C7"/>
    <w:rsid w:val="00662190"/>
    <w:rsid w:val="0066494F"/>
    <w:rsid w:val="00667AD0"/>
    <w:rsid w:val="00670BEF"/>
    <w:rsid w:val="00671132"/>
    <w:rsid w:val="006739BC"/>
    <w:rsid w:val="00674771"/>
    <w:rsid w:val="006765F4"/>
    <w:rsid w:val="0068399B"/>
    <w:rsid w:val="006872C4"/>
    <w:rsid w:val="00687BFD"/>
    <w:rsid w:val="00691139"/>
    <w:rsid w:val="00691EA3"/>
    <w:rsid w:val="00693AC8"/>
    <w:rsid w:val="00695F71"/>
    <w:rsid w:val="00696FC7"/>
    <w:rsid w:val="006A19C8"/>
    <w:rsid w:val="006A328F"/>
    <w:rsid w:val="006A390C"/>
    <w:rsid w:val="006A4859"/>
    <w:rsid w:val="006A67C5"/>
    <w:rsid w:val="006B0FB7"/>
    <w:rsid w:val="006B2E30"/>
    <w:rsid w:val="006B48D0"/>
    <w:rsid w:val="006B5AA9"/>
    <w:rsid w:val="006B6001"/>
    <w:rsid w:val="006B7567"/>
    <w:rsid w:val="006B7D77"/>
    <w:rsid w:val="006C058C"/>
    <w:rsid w:val="006C2BD7"/>
    <w:rsid w:val="006C2E56"/>
    <w:rsid w:val="006C3CB7"/>
    <w:rsid w:val="006C4966"/>
    <w:rsid w:val="006C6D4A"/>
    <w:rsid w:val="006D305D"/>
    <w:rsid w:val="006D46A1"/>
    <w:rsid w:val="006E0996"/>
    <w:rsid w:val="006E0F0F"/>
    <w:rsid w:val="006E1F51"/>
    <w:rsid w:val="006E287E"/>
    <w:rsid w:val="006E36E4"/>
    <w:rsid w:val="006E5598"/>
    <w:rsid w:val="006F1FD2"/>
    <w:rsid w:val="006F4D3F"/>
    <w:rsid w:val="006F5B8A"/>
    <w:rsid w:val="006F5F66"/>
    <w:rsid w:val="006F67AD"/>
    <w:rsid w:val="006F68F8"/>
    <w:rsid w:val="00700B65"/>
    <w:rsid w:val="00702E1B"/>
    <w:rsid w:val="00706719"/>
    <w:rsid w:val="00707BB0"/>
    <w:rsid w:val="0071019C"/>
    <w:rsid w:val="007109B2"/>
    <w:rsid w:val="00710B4C"/>
    <w:rsid w:val="0071269F"/>
    <w:rsid w:val="007126EC"/>
    <w:rsid w:val="00713171"/>
    <w:rsid w:val="00720DA5"/>
    <w:rsid w:val="00721C93"/>
    <w:rsid w:val="007254E0"/>
    <w:rsid w:val="007261C8"/>
    <w:rsid w:val="00727BD2"/>
    <w:rsid w:val="00734A25"/>
    <w:rsid w:val="00734CD1"/>
    <w:rsid w:val="007355B5"/>
    <w:rsid w:val="007371FD"/>
    <w:rsid w:val="00740058"/>
    <w:rsid w:val="00740DD1"/>
    <w:rsid w:val="00742D4D"/>
    <w:rsid w:val="00745900"/>
    <w:rsid w:val="00751727"/>
    <w:rsid w:val="00754373"/>
    <w:rsid w:val="00755CBD"/>
    <w:rsid w:val="007567D6"/>
    <w:rsid w:val="007667F7"/>
    <w:rsid w:val="00766B72"/>
    <w:rsid w:val="007729C7"/>
    <w:rsid w:val="00772F60"/>
    <w:rsid w:val="007740D7"/>
    <w:rsid w:val="0077503A"/>
    <w:rsid w:val="00775805"/>
    <w:rsid w:val="0077589E"/>
    <w:rsid w:val="0078180D"/>
    <w:rsid w:val="00783FCD"/>
    <w:rsid w:val="007848F7"/>
    <w:rsid w:val="00787787"/>
    <w:rsid w:val="00787CDF"/>
    <w:rsid w:val="007926E4"/>
    <w:rsid w:val="00793E4D"/>
    <w:rsid w:val="00797C78"/>
    <w:rsid w:val="007A0D0B"/>
    <w:rsid w:val="007A0D10"/>
    <w:rsid w:val="007A1214"/>
    <w:rsid w:val="007A1C3A"/>
    <w:rsid w:val="007A447E"/>
    <w:rsid w:val="007A5748"/>
    <w:rsid w:val="007A6621"/>
    <w:rsid w:val="007A7DFE"/>
    <w:rsid w:val="007B0AD6"/>
    <w:rsid w:val="007B1153"/>
    <w:rsid w:val="007B15C4"/>
    <w:rsid w:val="007B268C"/>
    <w:rsid w:val="007B2F02"/>
    <w:rsid w:val="007B37C7"/>
    <w:rsid w:val="007B3F43"/>
    <w:rsid w:val="007B4785"/>
    <w:rsid w:val="007B554C"/>
    <w:rsid w:val="007B66D8"/>
    <w:rsid w:val="007C010A"/>
    <w:rsid w:val="007C100D"/>
    <w:rsid w:val="007C148B"/>
    <w:rsid w:val="007C1CC5"/>
    <w:rsid w:val="007C2C43"/>
    <w:rsid w:val="007C3E88"/>
    <w:rsid w:val="007C53E4"/>
    <w:rsid w:val="007C6218"/>
    <w:rsid w:val="007D1E26"/>
    <w:rsid w:val="007D3511"/>
    <w:rsid w:val="007D41EE"/>
    <w:rsid w:val="007D7FE1"/>
    <w:rsid w:val="007E1A1B"/>
    <w:rsid w:val="007E21B8"/>
    <w:rsid w:val="007E2210"/>
    <w:rsid w:val="007E2EA3"/>
    <w:rsid w:val="007E39ED"/>
    <w:rsid w:val="007E64A2"/>
    <w:rsid w:val="007F09AE"/>
    <w:rsid w:val="007F0F24"/>
    <w:rsid w:val="007F54C9"/>
    <w:rsid w:val="007F7495"/>
    <w:rsid w:val="007F7C6F"/>
    <w:rsid w:val="008004B8"/>
    <w:rsid w:val="00800820"/>
    <w:rsid w:val="00801A55"/>
    <w:rsid w:val="00802D06"/>
    <w:rsid w:val="00802F35"/>
    <w:rsid w:val="00803F15"/>
    <w:rsid w:val="00804A61"/>
    <w:rsid w:val="00805DB1"/>
    <w:rsid w:val="00807A85"/>
    <w:rsid w:val="0081108C"/>
    <w:rsid w:val="00811CB0"/>
    <w:rsid w:val="008121B4"/>
    <w:rsid w:val="0081614F"/>
    <w:rsid w:val="0081724C"/>
    <w:rsid w:val="008173D1"/>
    <w:rsid w:val="008228D1"/>
    <w:rsid w:val="00823E2E"/>
    <w:rsid w:val="0082527B"/>
    <w:rsid w:val="00826B05"/>
    <w:rsid w:val="00827C59"/>
    <w:rsid w:val="00830D46"/>
    <w:rsid w:val="00830DBF"/>
    <w:rsid w:val="00833D55"/>
    <w:rsid w:val="008364F0"/>
    <w:rsid w:val="0083676D"/>
    <w:rsid w:val="0083784A"/>
    <w:rsid w:val="00841540"/>
    <w:rsid w:val="00843F6A"/>
    <w:rsid w:val="00844376"/>
    <w:rsid w:val="008469D6"/>
    <w:rsid w:val="00847F19"/>
    <w:rsid w:val="00850805"/>
    <w:rsid w:val="0085098F"/>
    <w:rsid w:val="00851C1C"/>
    <w:rsid w:val="00853003"/>
    <w:rsid w:val="008536EC"/>
    <w:rsid w:val="00857C95"/>
    <w:rsid w:val="00864AC5"/>
    <w:rsid w:val="00864ADF"/>
    <w:rsid w:val="008655B6"/>
    <w:rsid w:val="008663F8"/>
    <w:rsid w:val="00866D01"/>
    <w:rsid w:val="008672F9"/>
    <w:rsid w:val="00867774"/>
    <w:rsid w:val="00870D40"/>
    <w:rsid w:val="00872CD2"/>
    <w:rsid w:val="008736C1"/>
    <w:rsid w:val="008777E1"/>
    <w:rsid w:val="00880139"/>
    <w:rsid w:val="008815C6"/>
    <w:rsid w:val="00883A95"/>
    <w:rsid w:val="008847BC"/>
    <w:rsid w:val="00884F7A"/>
    <w:rsid w:val="00885249"/>
    <w:rsid w:val="008877FD"/>
    <w:rsid w:val="00890441"/>
    <w:rsid w:val="00890943"/>
    <w:rsid w:val="0089132B"/>
    <w:rsid w:val="00891C7F"/>
    <w:rsid w:val="00892132"/>
    <w:rsid w:val="00893B1C"/>
    <w:rsid w:val="00893E19"/>
    <w:rsid w:val="00896418"/>
    <w:rsid w:val="00896C95"/>
    <w:rsid w:val="008A05FF"/>
    <w:rsid w:val="008A17E9"/>
    <w:rsid w:val="008A4E7D"/>
    <w:rsid w:val="008A61E9"/>
    <w:rsid w:val="008A7C71"/>
    <w:rsid w:val="008B0970"/>
    <w:rsid w:val="008B0EE4"/>
    <w:rsid w:val="008B150C"/>
    <w:rsid w:val="008B4C33"/>
    <w:rsid w:val="008B4F65"/>
    <w:rsid w:val="008B5E78"/>
    <w:rsid w:val="008C01A0"/>
    <w:rsid w:val="008C1A4F"/>
    <w:rsid w:val="008C42B3"/>
    <w:rsid w:val="008C4BD0"/>
    <w:rsid w:val="008D543F"/>
    <w:rsid w:val="008E034E"/>
    <w:rsid w:val="008E0376"/>
    <w:rsid w:val="008E4DAA"/>
    <w:rsid w:val="008E4EE1"/>
    <w:rsid w:val="008E5135"/>
    <w:rsid w:val="008E5863"/>
    <w:rsid w:val="008E5A86"/>
    <w:rsid w:val="008E689E"/>
    <w:rsid w:val="008E7CA3"/>
    <w:rsid w:val="008F1B68"/>
    <w:rsid w:val="008F3DFA"/>
    <w:rsid w:val="008F4D11"/>
    <w:rsid w:val="008F5303"/>
    <w:rsid w:val="008F62A7"/>
    <w:rsid w:val="0090577E"/>
    <w:rsid w:val="009061DA"/>
    <w:rsid w:val="009066A6"/>
    <w:rsid w:val="00906AB0"/>
    <w:rsid w:val="00911201"/>
    <w:rsid w:val="00911970"/>
    <w:rsid w:val="00912574"/>
    <w:rsid w:val="00913E9C"/>
    <w:rsid w:val="009169D5"/>
    <w:rsid w:val="00922139"/>
    <w:rsid w:val="00922C65"/>
    <w:rsid w:val="009246C8"/>
    <w:rsid w:val="00924ED7"/>
    <w:rsid w:val="00925BAB"/>
    <w:rsid w:val="009260E0"/>
    <w:rsid w:val="00927762"/>
    <w:rsid w:val="00927C51"/>
    <w:rsid w:val="009308D7"/>
    <w:rsid w:val="00931DF3"/>
    <w:rsid w:val="0093252D"/>
    <w:rsid w:val="00933227"/>
    <w:rsid w:val="0093407C"/>
    <w:rsid w:val="00940322"/>
    <w:rsid w:val="00940C49"/>
    <w:rsid w:val="0094135C"/>
    <w:rsid w:val="009430A1"/>
    <w:rsid w:val="009433C8"/>
    <w:rsid w:val="00943600"/>
    <w:rsid w:val="00944085"/>
    <w:rsid w:val="00944DA8"/>
    <w:rsid w:val="00945786"/>
    <w:rsid w:val="009468AE"/>
    <w:rsid w:val="009521CD"/>
    <w:rsid w:val="00952888"/>
    <w:rsid w:val="00952F7F"/>
    <w:rsid w:val="00953892"/>
    <w:rsid w:val="00953BF2"/>
    <w:rsid w:val="00953CF1"/>
    <w:rsid w:val="00954C44"/>
    <w:rsid w:val="00955C19"/>
    <w:rsid w:val="00960E58"/>
    <w:rsid w:val="00961C4E"/>
    <w:rsid w:val="009635AC"/>
    <w:rsid w:val="00964033"/>
    <w:rsid w:val="0097123D"/>
    <w:rsid w:val="00972A54"/>
    <w:rsid w:val="00974AD8"/>
    <w:rsid w:val="009779F2"/>
    <w:rsid w:val="00981E1B"/>
    <w:rsid w:val="009824E4"/>
    <w:rsid w:val="0098327A"/>
    <w:rsid w:val="00983A1E"/>
    <w:rsid w:val="00984021"/>
    <w:rsid w:val="00985117"/>
    <w:rsid w:val="009862CC"/>
    <w:rsid w:val="0099023F"/>
    <w:rsid w:val="009912BD"/>
    <w:rsid w:val="009914DA"/>
    <w:rsid w:val="009918FE"/>
    <w:rsid w:val="00993CAF"/>
    <w:rsid w:val="009A3C01"/>
    <w:rsid w:val="009A755C"/>
    <w:rsid w:val="009A75C1"/>
    <w:rsid w:val="009A7648"/>
    <w:rsid w:val="009B145D"/>
    <w:rsid w:val="009B1A86"/>
    <w:rsid w:val="009B2307"/>
    <w:rsid w:val="009B3741"/>
    <w:rsid w:val="009B3B61"/>
    <w:rsid w:val="009B3BE2"/>
    <w:rsid w:val="009B5495"/>
    <w:rsid w:val="009B5843"/>
    <w:rsid w:val="009B5845"/>
    <w:rsid w:val="009B699E"/>
    <w:rsid w:val="009C1CA0"/>
    <w:rsid w:val="009C27E1"/>
    <w:rsid w:val="009C3DE4"/>
    <w:rsid w:val="009C426F"/>
    <w:rsid w:val="009C5ED7"/>
    <w:rsid w:val="009C66AE"/>
    <w:rsid w:val="009D0EF7"/>
    <w:rsid w:val="009D2023"/>
    <w:rsid w:val="009D574E"/>
    <w:rsid w:val="009E0A30"/>
    <w:rsid w:val="009E0D11"/>
    <w:rsid w:val="009E1812"/>
    <w:rsid w:val="009E30C1"/>
    <w:rsid w:val="009E6B07"/>
    <w:rsid w:val="009F04A9"/>
    <w:rsid w:val="009F0557"/>
    <w:rsid w:val="009F2C1F"/>
    <w:rsid w:val="009F49F5"/>
    <w:rsid w:val="009F4A53"/>
    <w:rsid w:val="009F5049"/>
    <w:rsid w:val="009F5533"/>
    <w:rsid w:val="00A018FA"/>
    <w:rsid w:val="00A03996"/>
    <w:rsid w:val="00A04694"/>
    <w:rsid w:val="00A12569"/>
    <w:rsid w:val="00A13FFF"/>
    <w:rsid w:val="00A1539D"/>
    <w:rsid w:val="00A1559C"/>
    <w:rsid w:val="00A15A48"/>
    <w:rsid w:val="00A16046"/>
    <w:rsid w:val="00A2054C"/>
    <w:rsid w:val="00A2064F"/>
    <w:rsid w:val="00A22044"/>
    <w:rsid w:val="00A22633"/>
    <w:rsid w:val="00A24608"/>
    <w:rsid w:val="00A264E5"/>
    <w:rsid w:val="00A2705C"/>
    <w:rsid w:val="00A31F3E"/>
    <w:rsid w:val="00A334F1"/>
    <w:rsid w:val="00A335EA"/>
    <w:rsid w:val="00A35508"/>
    <w:rsid w:val="00A3715B"/>
    <w:rsid w:val="00A43C5B"/>
    <w:rsid w:val="00A513D1"/>
    <w:rsid w:val="00A51961"/>
    <w:rsid w:val="00A52149"/>
    <w:rsid w:val="00A52754"/>
    <w:rsid w:val="00A52F9F"/>
    <w:rsid w:val="00A5649C"/>
    <w:rsid w:val="00A57819"/>
    <w:rsid w:val="00A64CC7"/>
    <w:rsid w:val="00A66348"/>
    <w:rsid w:val="00A6762F"/>
    <w:rsid w:val="00A72BBB"/>
    <w:rsid w:val="00A73568"/>
    <w:rsid w:val="00A73A02"/>
    <w:rsid w:val="00A7551E"/>
    <w:rsid w:val="00A83A4F"/>
    <w:rsid w:val="00A83F07"/>
    <w:rsid w:val="00A86177"/>
    <w:rsid w:val="00A86FB1"/>
    <w:rsid w:val="00A92094"/>
    <w:rsid w:val="00A945AF"/>
    <w:rsid w:val="00A95157"/>
    <w:rsid w:val="00A95E9F"/>
    <w:rsid w:val="00AA122B"/>
    <w:rsid w:val="00AA2D25"/>
    <w:rsid w:val="00AA3BF8"/>
    <w:rsid w:val="00AA5C51"/>
    <w:rsid w:val="00AA5D11"/>
    <w:rsid w:val="00AA6539"/>
    <w:rsid w:val="00AB1255"/>
    <w:rsid w:val="00AB160C"/>
    <w:rsid w:val="00AB3555"/>
    <w:rsid w:val="00AB3E80"/>
    <w:rsid w:val="00AB5E04"/>
    <w:rsid w:val="00AB69A3"/>
    <w:rsid w:val="00AC0375"/>
    <w:rsid w:val="00AC0D44"/>
    <w:rsid w:val="00AC3B61"/>
    <w:rsid w:val="00AC5572"/>
    <w:rsid w:val="00AC569D"/>
    <w:rsid w:val="00AC756B"/>
    <w:rsid w:val="00AC765B"/>
    <w:rsid w:val="00AC7908"/>
    <w:rsid w:val="00AD0545"/>
    <w:rsid w:val="00AD1589"/>
    <w:rsid w:val="00AD2103"/>
    <w:rsid w:val="00AD34A3"/>
    <w:rsid w:val="00AD3853"/>
    <w:rsid w:val="00AE0AC0"/>
    <w:rsid w:val="00AE0F6C"/>
    <w:rsid w:val="00AE20F4"/>
    <w:rsid w:val="00AE4DB6"/>
    <w:rsid w:val="00AE51F2"/>
    <w:rsid w:val="00AF0A42"/>
    <w:rsid w:val="00AF0E2B"/>
    <w:rsid w:val="00AF0FB3"/>
    <w:rsid w:val="00AF224F"/>
    <w:rsid w:val="00AF3BB6"/>
    <w:rsid w:val="00AF4709"/>
    <w:rsid w:val="00AF6A83"/>
    <w:rsid w:val="00B02864"/>
    <w:rsid w:val="00B029F4"/>
    <w:rsid w:val="00B033D2"/>
    <w:rsid w:val="00B04C47"/>
    <w:rsid w:val="00B073F7"/>
    <w:rsid w:val="00B103C5"/>
    <w:rsid w:val="00B136BD"/>
    <w:rsid w:val="00B137CF"/>
    <w:rsid w:val="00B14BC1"/>
    <w:rsid w:val="00B14E77"/>
    <w:rsid w:val="00B171EC"/>
    <w:rsid w:val="00B17768"/>
    <w:rsid w:val="00B23BDA"/>
    <w:rsid w:val="00B243D6"/>
    <w:rsid w:val="00B25706"/>
    <w:rsid w:val="00B27810"/>
    <w:rsid w:val="00B31973"/>
    <w:rsid w:val="00B344B8"/>
    <w:rsid w:val="00B42960"/>
    <w:rsid w:val="00B442AC"/>
    <w:rsid w:val="00B44541"/>
    <w:rsid w:val="00B459E0"/>
    <w:rsid w:val="00B5070A"/>
    <w:rsid w:val="00B51691"/>
    <w:rsid w:val="00B53C04"/>
    <w:rsid w:val="00B56424"/>
    <w:rsid w:val="00B60B7D"/>
    <w:rsid w:val="00B61492"/>
    <w:rsid w:val="00B62687"/>
    <w:rsid w:val="00B62B8E"/>
    <w:rsid w:val="00B632DD"/>
    <w:rsid w:val="00B6498F"/>
    <w:rsid w:val="00B706AD"/>
    <w:rsid w:val="00B72235"/>
    <w:rsid w:val="00B75343"/>
    <w:rsid w:val="00B75F0D"/>
    <w:rsid w:val="00B77CE0"/>
    <w:rsid w:val="00B77E5C"/>
    <w:rsid w:val="00B80178"/>
    <w:rsid w:val="00B80C4E"/>
    <w:rsid w:val="00B82665"/>
    <w:rsid w:val="00B829E0"/>
    <w:rsid w:val="00B836E1"/>
    <w:rsid w:val="00B85988"/>
    <w:rsid w:val="00B8626C"/>
    <w:rsid w:val="00B87521"/>
    <w:rsid w:val="00B91791"/>
    <w:rsid w:val="00B939FC"/>
    <w:rsid w:val="00BA077C"/>
    <w:rsid w:val="00BA2FB9"/>
    <w:rsid w:val="00BA3136"/>
    <w:rsid w:val="00BA4AF7"/>
    <w:rsid w:val="00BA6677"/>
    <w:rsid w:val="00BB08FE"/>
    <w:rsid w:val="00BB30F1"/>
    <w:rsid w:val="00BB3951"/>
    <w:rsid w:val="00BB4CBE"/>
    <w:rsid w:val="00BB4F6B"/>
    <w:rsid w:val="00BB57D9"/>
    <w:rsid w:val="00BB595F"/>
    <w:rsid w:val="00BB5F9D"/>
    <w:rsid w:val="00BB6299"/>
    <w:rsid w:val="00BB6924"/>
    <w:rsid w:val="00BC01DA"/>
    <w:rsid w:val="00BC33A4"/>
    <w:rsid w:val="00BC4CF3"/>
    <w:rsid w:val="00BC670A"/>
    <w:rsid w:val="00BC6C2D"/>
    <w:rsid w:val="00BC76E1"/>
    <w:rsid w:val="00BD1C9D"/>
    <w:rsid w:val="00BD3144"/>
    <w:rsid w:val="00BD45FF"/>
    <w:rsid w:val="00BD4655"/>
    <w:rsid w:val="00BD4F8B"/>
    <w:rsid w:val="00BD5C54"/>
    <w:rsid w:val="00BD7B0D"/>
    <w:rsid w:val="00BD7C79"/>
    <w:rsid w:val="00BE1A1C"/>
    <w:rsid w:val="00BE1F4E"/>
    <w:rsid w:val="00BE254C"/>
    <w:rsid w:val="00BE2E19"/>
    <w:rsid w:val="00BE4CDD"/>
    <w:rsid w:val="00BE6468"/>
    <w:rsid w:val="00BF00B3"/>
    <w:rsid w:val="00BF29C0"/>
    <w:rsid w:val="00BF39DA"/>
    <w:rsid w:val="00BF442A"/>
    <w:rsid w:val="00BF5125"/>
    <w:rsid w:val="00BF5222"/>
    <w:rsid w:val="00BF54CB"/>
    <w:rsid w:val="00BF5D22"/>
    <w:rsid w:val="00BF5EAC"/>
    <w:rsid w:val="00BF6FA6"/>
    <w:rsid w:val="00BF7AD9"/>
    <w:rsid w:val="00C0116D"/>
    <w:rsid w:val="00C02502"/>
    <w:rsid w:val="00C03413"/>
    <w:rsid w:val="00C05172"/>
    <w:rsid w:val="00C0622A"/>
    <w:rsid w:val="00C07AFB"/>
    <w:rsid w:val="00C10896"/>
    <w:rsid w:val="00C10F6C"/>
    <w:rsid w:val="00C1125D"/>
    <w:rsid w:val="00C112D7"/>
    <w:rsid w:val="00C12025"/>
    <w:rsid w:val="00C12A1F"/>
    <w:rsid w:val="00C13039"/>
    <w:rsid w:val="00C136C2"/>
    <w:rsid w:val="00C13C74"/>
    <w:rsid w:val="00C14F7B"/>
    <w:rsid w:val="00C1506B"/>
    <w:rsid w:val="00C16F27"/>
    <w:rsid w:val="00C17A63"/>
    <w:rsid w:val="00C21E5E"/>
    <w:rsid w:val="00C22A8E"/>
    <w:rsid w:val="00C22A94"/>
    <w:rsid w:val="00C249EF"/>
    <w:rsid w:val="00C24A33"/>
    <w:rsid w:val="00C25A98"/>
    <w:rsid w:val="00C31F08"/>
    <w:rsid w:val="00C3209B"/>
    <w:rsid w:val="00C33185"/>
    <w:rsid w:val="00C33909"/>
    <w:rsid w:val="00C35DAF"/>
    <w:rsid w:val="00C36EFD"/>
    <w:rsid w:val="00C3756D"/>
    <w:rsid w:val="00C415AC"/>
    <w:rsid w:val="00C41FF5"/>
    <w:rsid w:val="00C43795"/>
    <w:rsid w:val="00C43FDD"/>
    <w:rsid w:val="00C44EBF"/>
    <w:rsid w:val="00C46FED"/>
    <w:rsid w:val="00C471CF"/>
    <w:rsid w:val="00C528D0"/>
    <w:rsid w:val="00C559C6"/>
    <w:rsid w:val="00C56294"/>
    <w:rsid w:val="00C56304"/>
    <w:rsid w:val="00C573F8"/>
    <w:rsid w:val="00C60903"/>
    <w:rsid w:val="00C60BA8"/>
    <w:rsid w:val="00C636FF"/>
    <w:rsid w:val="00C66834"/>
    <w:rsid w:val="00C67738"/>
    <w:rsid w:val="00C677EE"/>
    <w:rsid w:val="00C7281C"/>
    <w:rsid w:val="00C72A79"/>
    <w:rsid w:val="00C76AD1"/>
    <w:rsid w:val="00C77896"/>
    <w:rsid w:val="00C803DA"/>
    <w:rsid w:val="00C82BD2"/>
    <w:rsid w:val="00C84457"/>
    <w:rsid w:val="00C86686"/>
    <w:rsid w:val="00C868E5"/>
    <w:rsid w:val="00C87DFC"/>
    <w:rsid w:val="00C87E33"/>
    <w:rsid w:val="00C92354"/>
    <w:rsid w:val="00C95BFC"/>
    <w:rsid w:val="00C9730F"/>
    <w:rsid w:val="00C975D9"/>
    <w:rsid w:val="00CA1BF0"/>
    <w:rsid w:val="00CA4E32"/>
    <w:rsid w:val="00CA71C8"/>
    <w:rsid w:val="00CA730C"/>
    <w:rsid w:val="00CB0338"/>
    <w:rsid w:val="00CB0BF2"/>
    <w:rsid w:val="00CB0EB5"/>
    <w:rsid w:val="00CB1041"/>
    <w:rsid w:val="00CB1AEB"/>
    <w:rsid w:val="00CB1E8E"/>
    <w:rsid w:val="00CB2B1E"/>
    <w:rsid w:val="00CB3977"/>
    <w:rsid w:val="00CB3DAD"/>
    <w:rsid w:val="00CB57B4"/>
    <w:rsid w:val="00CB5D5D"/>
    <w:rsid w:val="00CB5DCF"/>
    <w:rsid w:val="00CB684E"/>
    <w:rsid w:val="00CC0B72"/>
    <w:rsid w:val="00CC1D1F"/>
    <w:rsid w:val="00CC31B1"/>
    <w:rsid w:val="00CC3792"/>
    <w:rsid w:val="00CC3E23"/>
    <w:rsid w:val="00CC420E"/>
    <w:rsid w:val="00CC4CDE"/>
    <w:rsid w:val="00CD01FC"/>
    <w:rsid w:val="00CD160D"/>
    <w:rsid w:val="00CD3AB7"/>
    <w:rsid w:val="00CD5562"/>
    <w:rsid w:val="00CD694F"/>
    <w:rsid w:val="00CE1C3C"/>
    <w:rsid w:val="00CE4793"/>
    <w:rsid w:val="00CE4AEC"/>
    <w:rsid w:val="00CE61E7"/>
    <w:rsid w:val="00CE760E"/>
    <w:rsid w:val="00CE7DF3"/>
    <w:rsid w:val="00CF4E46"/>
    <w:rsid w:val="00CF699A"/>
    <w:rsid w:val="00D004AE"/>
    <w:rsid w:val="00D01D6B"/>
    <w:rsid w:val="00D03623"/>
    <w:rsid w:val="00D0382F"/>
    <w:rsid w:val="00D04254"/>
    <w:rsid w:val="00D049ED"/>
    <w:rsid w:val="00D04D36"/>
    <w:rsid w:val="00D07404"/>
    <w:rsid w:val="00D1084A"/>
    <w:rsid w:val="00D110FC"/>
    <w:rsid w:val="00D11EC2"/>
    <w:rsid w:val="00D13B68"/>
    <w:rsid w:val="00D13FB8"/>
    <w:rsid w:val="00D168FD"/>
    <w:rsid w:val="00D2084A"/>
    <w:rsid w:val="00D2221E"/>
    <w:rsid w:val="00D242D1"/>
    <w:rsid w:val="00D24E66"/>
    <w:rsid w:val="00D25810"/>
    <w:rsid w:val="00D27D84"/>
    <w:rsid w:val="00D34736"/>
    <w:rsid w:val="00D372BA"/>
    <w:rsid w:val="00D37F65"/>
    <w:rsid w:val="00D40D7B"/>
    <w:rsid w:val="00D41BC7"/>
    <w:rsid w:val="00D44756"/>
    <w:rsid w:val="00D44FE3"/>
    <w:rsid w:val="00D4602A"/>
    <w:rsid w:val="00D47C99"/>
    <w:rsid w:val="00D5014C"/>
    <w:rsid w:val="00D50B04"/>
    <w:rsid w:val="00D548D0"/>
    <w:rsid w:val="00D5662F"/>
    <w:rsid w:val="00D567A2"/>
    <w:rsid w:val="00D567EB"/>
    <w:rsid w:val="00D617DD"/>
    <w:rsid w:val="00D62A5D"/>
    <w:rsid w:val="00D66461"/>
    <w:rsid w:val="00D669BE"/>
    <w:rsid w:val="00D67C90"/>
    <w:rsid w:val="00D71000"/>
    <w:rsid w:val="00D715F1"/>
    <w:rsid w:val="00D73EF6"/>
    <w:rsid w:val="00D7454B"/>
    <w:rsid w:val="00D751E2"/>
    <w:rsid w:val="00D801A6"/>
    <w:rsid w:val="00D81CCD"/>
    <w:rsid w:val="00D81DF8"/>
    <w:rsid w:val="00D8480C"/>
    <w:rsid w:val="00D873B0"/>
    <w:rsid w:val="00D87426"/>
    <w:rsid w:val="00D91A2A"/>
    <w:rsid w:val="00D92456"/>
    <w:rsid w:val="00D9259A"/>
    <w:rsid w:val="00D935B8"/>
    <w:rsid w:val="00D94308"/>
    <w:rsid w:val="00D95176"/>
    <w:rsid w:val="00D9555F"/>
    <w:rsid w:val="00D9651A"/>
    <w:rsid w:val="00D974AD"/>
    <w:rsid w:val="00DA035A"/>
    <w:rsid w:val="00DA05FC"/>
    <w:rsid w:val="00DA0A8C"/>
    <w:rsid w:val="00DA21DB"/>
    <w:rsid w:val="00DA46DB"/>
    <w:rsid w:val="00DA4CF9"/>
    <w:rsid w:val="00DA540E"/>
    <w:rsid w:val="00DA59B4"/>
    <w:rsid w:val="00DA5D4A"/>
    <w:rsid w:val="00DA628A"/>
    <w:rsid w:val="00DA7474"/>
    <w:rsid w:val="00DB224E"/>
    <w:rsid w:val="00DB2619"/>
    <w:rsid w:val="00DB2D5C"/>
    <w:rsid w:val="00DB2E2D"/>
    <w:rsid w:val="00DB5CA9"/>
    <w:rsid w:val="00DB7EEC"/>
    <w:rsid w:val="00DC14CA"/>
    <w:rsid w:val="00DC1BF9"/>
    <w:rsid w:val="00DC1CF9"/>
    <w:rsid w:val="00DC1DA5"/>
    <w:rsid w:val="00DC2CF8"/>
    <w:rsid w:val="00DC4108"/>
    <w:rsid w:val="00DC74EE"/>
    <w:rsid w:val="00DC7562"/>
    <w:rsid w:val="00DD14C8"/>
    <w:rsid w:val="00DD18D2"/>
    <w:rsid w:val="00DD4794"/>
    <w:rsid w:val="00DD4995"/>
    <w:rsid w:val="00DD63B8"/>
    <w:rsid w:val="00DD7713"/>
    <w:rsid w:val="00DD7B8D"/>
    <w:rsid w:val="00DE361F"/>
    <w:rsid w:val="00DE5A8C"/>
    <w:rsid w:val="00DE66AE"/>
    <w:rsid w:val="00DE6AEC"/>
    <w:rsid w:val="00DF05BF"/>
    <w:rsid w:val="00DF082B"/>
    <w:rsid w:val="00DF0B23"/>
    <w:rsid w:val="00DF59AA"/>
    <w:rsid w:val="00DF7B86"/>
    <w:rsid w:val="00E02290"/>
    <w:rsid w:val="00E02F02"/>
    <w:rsid w:val="00E031F2"/>
    <w:rsid w:val="00E03989"/>
    <w:rsid w:val="00E0582E"/>
    <w:rsid w:val="00E05B29"/>
    <w:rsid w:val="00E069F2"/>
    <w:rsid w:val="00E12CC1"/>
    <w:rsid w:val="00E13A6E"/>
    <w:rsid w:val="00E16B7C"/>
    <w:rsid w:val="00E20D66"/>
    <w:rsid w:val="00E22307"/>
    <w:rsid w:val="00E22574"/>
    <w:rsid w:val="00E22CBD"/>
    <w:rsid w:val="00E24744"/>
    <w:rsid w:val="00E2669A"/>
    <w:rsid w:val="00E3009F"/>
    <w:rsid w:val="00E3168A"/>
    <w:rsid w:val="00E32297"/>
    <w:rsid w:val="00E33449"/>
    <w:rsid w:val="00E35434"/>
    <w:rsid w:val="00E430FC"/>
    <w:rsid w:val="00E43169"/>
    <w:rsid w:val="00E44FDE"/>
    <w:rsid w:val="00E451EC"/>
    <w:rsid w:val="00E468EB"/>
    <w:rsid w:val="00E4733D"/>
    <w:rsid w:val="00E475B2"/>
    <w:rsid w:val="00E50478"/>
    <w:rsid w:val="00E509C0"/>
    <w:rsid w:val="00E51512"/>
    <w:rsid w:val="00E51FB9"/>
    <w:rsid w:val="00E546E5"/>
    <w:rsid w:val="00E547D1"/>
    <w:rsid w:val="00E55318"/>
    <w:rsid w:val="00E55C58"/>
    <w:rsid w:val="00E55F9A"/>
    <w:rsid w:val="00E563BD"/>
    <w:rsid w:val="00E601D4"/>
    <w:rsid w:val="00E6150C"/>
    <w:rsid w:val="00E61597"/>
    <w:rsid w:val="00E61F70"/>
    <w:rsid w:val="00E64124"/>
    <w:rsid w:val="00E64BCB"/>
    <w:rsid w:val="00E64FBF"/>
    <w:rsid w:val="00E71677"/>
    <w:rsid w:val="00E72300"/>
    <w:rsid w:val="00E73046"/>
    <w:rsid w:val="00E731B6"/>
    <w:rsid w:val="00E7502F"/>
    <w:rsid w:val="00E7615A"/>
    <w:rsid w:val="00E7624B"/>
    <w:rsid w:val="00E77E7B"/>
    <w:rsid w:val="00E81305"/>
    <w:rsid w:val="00E81B0B"/>
    <w:rsid w:val="00E8354C"/>
    <w:rsid w:val="00E83819"/>
    <w:rsid w:val="00E86586"/>
    <w:rsid w:val="00E86783"/>
    <w:rsid w:val="00E90C4A"/>
    <w:rsid w:val="00E90F18"/>
    <w:rsid w:val="00E91345"/>
    <w:rsid w:val="00E9327F"/>
    <w:rsid w:val="00E93C9A"/>
    <w:rsid w:val="00E955F0"/>
    <w:rsid w:val="00E9566F"/>
    <w:rsid w:val="00E95E2F"/>
    <w:rsid w:val="00E97A92"/>
    <w:rsid w:val="00EA1C4C"/>
    <w:rsid w:val="00EA2092"/>
    <w:rsid w:val="00EA2983"/>
    <w:rsid w:val="00EA44DB"/>
    <w:rsid w:val="00EA4FC5"/>
    <w:rsid w:val="00EA5035"/>
    <w:rsid w:val="00EA5E17"/>
    <w:rsid w:val="00EA6293"/>
    <w:rsid w:val="00EB12B7"/>
    <w:rsid w:val="00EB222C"/>
    <w:rsid w:val="00EB25EC"/>
    <w:rsid w:val="00EB2643"/>
    <w:rsid w:val="00EB3C09"/>
    <w:rsid w:val="00EB4681"/>
    <w:rsid w:val="00EB57E9"/>
    <w:rsid w:val="00EB59F9"/>
    <w:rsid w:val="00EB7391"/>
    <w:rsid w:val="00EB758C"/>
    <w:rsid w:val="00EC0A1B"/>
    <w:rsid w:val="00EC1F85"/>
    <w:rsid w:val="00EC2F83"/>
    <w:rsid w:val="00EC32B7"/>
    <w:rsid w:val="00EC548A"/>
    <w:rsid w:val="00EC6BB5"/>
    <w:rsid w:val="00ED11E8"/>
    <w:rsid w:val="00ED172E"/>
    <w:rsid w:val="00ED17B2"/>
    <w:rsid w:val="00ED3205"/>
    <w:rsid w:val="00ED62E7"/>
    <w:rsid w:val="00EE28FA"/>
    <w:rsid w:val="00EE295F"/>
    <w:rsid w:val="00EE2CA5"/>
    <w:rsid w:val="00EE3B0A"/>
    <w:rsid w:val="00EE4115"/>
    <w:rsid w:val="00EE68A0"/>
    <w:rsid w:val="00EF6270"/>
    <w:rsid w:val="00EF71C5"/>
    <w:rsid w:val="00EF7905"/>
    <w:rsid w:val="00F00B0A"/>
    <w:rsid w:val="00F03226"/>
    <w:rsid w:val="00F0575E"/>
    <w:rsid w:val="00F05AD9"/>
    <w:rsid w:val="00F07673"/>
    <w:rsid w:val="00F11AB6"/>
    <w:rsid w:val="00F126A4"/>
    <w:rsid w:val="00F137BE"/>
    <w:rsid w:val="00F14991"/>
    <w:rsid w:val="00F155E0"/>
    <w:rsid w:val="00F17701"/>
    <w:rsid w:val="00F20253"/>
    <w:rsid w:val="00F21028"/>
    <w:rsid w:val="00F21B8C"/>
    <w:rsid w:val="00F23794"/>
    <w:rsid w:val="00F242C9"/>
    <w:rsid w:val="00F24BB7"/>
    <w:rsid w:val="00F27BE5"/>
    <w:rsid w:val="00F30D58"/>
    <w:rsid w:val="00F3222B"/>
    <w:rsid w:val="00F40C48"/>
    <w:rsid w:val="00F43E96"/>
    <w:rsid w:val="00F45E3C"/>
    <w:rsid w:val="00F46266"/>
    <w:rsid w:val="00F502B6"/>
    <w:rsid w:val="00F52690"/>
    <w:rsid w:val="00F5274B"/>
    <w:rsid w:val="00F52A76"/>
    <w:rsid w:val="00F52ECC"/>
    <w:rsid w:val="00F5345C"/>
    <w:rsid w:val="00F64EF9"/>
    <w:rsid w:val="00F662C3"/>
    <w:rsid w:val="00F66836"/>
    <w:rsid w:val="00F674E7"/>
    <w:rsid w:val="00F7185A"/>
    <w:rsid w:val="00F71CF9"/>
    <w:rsid w:val="00F725C2"/>
    <w:rsid w:val="00F73C33"/>
    <w:rsid w:val="00F74520"/>
    <w:rsid w:val="00F754B3"/>
    <w:rsid w:val="00F82ACD"/>
    <w:rsid w:val="00F84BE0"/>
    <w:rsid w:val="00F875A7"/>
    <w:rsid w:val="00F94DF2"/>
    <w:rsid w:val="00F95781"/>
    <w:rsid w:val="00FA2C71"/>
    <w:rsid w:val="00FB0A8E"/>
    <w:rsid w:val="00FB2B34"/>
    <w:rsid w:val="00FB453B"/>
    <w:rsid w:val="00FB7BF2"/>
    <w:rsid w:val="00FC0E3A"/>
    <w:rsid w:val="00FC23D9"/>
    <w:rsid w:val="00FC5ADA"/>
    <w:rsid w:val="00FC5C52"/>
    <w:rsid w:val="00FD17BC"/>
    <w:rsid w:val="00FD1916"/>
    <w:rsid w:val="00FD6214"/>
    <w:rsid w:val="00FD70B0"/>
    <w:rsid w:val="00FD78C7"/>
    <w:rsid w:val="00FE0CD7"/>
    <w:rsid w:val="00FE236A"/>
    <w:rsid w:val="00FE784F"/>
    <w:rsid w:val="00FF0827"/>
    <w:rsid w:val="00FF0C77"/>
    <w:rsid w:val="00FF0CA6"/>
    <w:rsid w:val="00FF1ABC"/>
    <w:rsid w:val="00FF26AD"/>
    <w:rsid w:val="00FF2886"/>
    <w:rsid w:val="00FF3208"/>
    <w:rsid w:val="00FF3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E38D"/>
  <w15:docId w15:val="{AD44CEAD-CFDC-4CBF-9023-0EAE7E95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D5"/>
    <w:pPr>
      <w:jc w:val="both"/>
    </w:pPr>
    <w:rPr>
      <w:rFonts w:asciiTheme="majorHAnsi" w:hAnsiTheme="majorHAnsi"/>
      <w:color w:val="7F7F7F" w:themeColor="text1" w:themeTint="80"/>
    </w:rPr>
  </w:style>
  <w:style w:type="paragraph" w:styleId="Ttulo1">
    <w:name w:val="heading 1"/>
    <w:basedOn w:val="Normal"/>
    <w:next w:val="Normal"/>
    <w:link w:val="Ttulo1Char"/>
    <w:uiPriority w:val="9"/>
    <w:qFormat/>
    <w:rsid w:val="003A30DC"/>
    <w:pPr>
      <w:keepNext/>
      <w:keepLines/>
      <w:numPr>
        <w:numId w:val="19"/>
      </w:numPr>
      <w:spacing w:beforeLines="150" w:before="150" w:after="120" w:line="240" w:lineRule="auto"/>
      <w:ind w:left="1140" w:hanging="431"/>
      <w:outlineLvl w:val="0"/>
    </w:pPr>
    <w:rPr>
      <w:rFonts w:eastAsiaTheme="majorEastAsia" w:cstheme="majorBidi"/>
      <w:b/>
      <w:color w:val="ED7D31"/>
      <w:sz w:val="24"/>
      <w:szCs w:val="20"/>
    </w:rPr>
  </w:style>
  <w:style w:type="paragraph" w:styleId="Ttulo2">
    <w:name w:val="heading 2"/>
    <w:basedOn w:val="Ttulo1"/>
    <w:next w:val="Normal"/>
    <w:link w:val="Ttulo2Char"/>
    <w:autoRedefine/>
    <w:uiPriority w:val="9"/>
    <w:unhideWhenUsed/>
    <w:qFormat/>
    <w:rsid w:val="00BB08FE"/>
    <w:pPr>
      <w:numPr>
        <w:ilvl w:val="1"/>
      </w:numPr>
      <w:pBdr>
        <w:bottom w:val="single" w:sz="6" w:space="0" w:color="DFDFDF"/>
      </w:pBdr>
      <w:spacing w:before="360" w:line="312" w:lineRule="atLeast"/>
      <w:ind w:left="578" w:hanging="578"/>
      <w:jc w:val="left"/>
      <w:outlineLvl w:val="1"/>
    </w:pPr>
    <w:rPr>
      <w:rFonts w:cstheme="majorHAnsi"/>
      <w:bCs/>
      <w:color w:val="000000" w:themeColor="text1"/>
      <w:sz w:val="22"/>
      <w:szCs w:val="22"/>
    </w:rPr>
  </w:style>
  <w:style w:type="paragraph" w:styleId="Ttulo3">
    <w:name w:val="heading 3"/>
    <w:basedOn w:val="Normal"/>
    <w:next w:val="Normal"/>
    <w:link w:val="Ttulo3Char"/>
    <w:uiPriority w:val="9"/>
    <w:unhideWhenUsed/>
    <w:qFormat/>
    <w:rsid w:val="005222CD"/>
    <w:pPr>
      <w:keepNext/>
      <w:keepLines/>
      <w:numPr>
        <w:ilvl w:val="2"/>
        <w:numId w:val="19"/>
      </w:numPr>
      <w:spacing w:before="280" w:after="240"/>
      <w:ind w:left="1428"/>
      <w:outlineLvl w:val="2"/>
    </w:pPr>
    <w:rPr>
      <w:rFonts w:eastAsiaTheme="majorEastAsia" w:cstheme="majorBidi"/>
      <w:b/>
      <w:color w:val="ED7D31"/>
      <w:szCs w:val="24"/>
    </w:rPr>
  </w:style>
  <w:style w:type="paragraph" w:styleId="Ttulo4">
    <w:name w:val="heading 4"/>
    <w:basedOn w:val="Normal"/>
    <w:next w:val="Normal"/>
    <w:link w:val="Ttulo4Char"/>
    <w:uiPriority w:val="9"/>
    <w:unhideWhenUsed/>
    <w:qFormat/>
    <w:rsid w:val="005222CD"/>
    <w:pPr>
      <w:keepNext/>
      <w:keepLines/>
      <w:numPr>
        <w:ilvl w:val="3"/>
        <w:numId w:val="19"/>
      </w:numPr>
      <w:spacing w:before="40" w:after="0"/>
      <w:ind w:left="2280"/>
      <w:outlineLvl w:val="3"/>
    </w:pPr>
    <w:rPr>
      <w:rFonts w:eastAsiaTheme="majorEastAsia" w:cstheme="majorBidi"/>
      <w:i/>
      <w:iCs/>
      <w:color w:val="ED7D31"/>
    </w:rPr>
  </w:style>
  <w:style w:type="paragraph" w:styleId="Ttulo5">
    <w:name w:val="heading 5"/>
    <w:basedOn w:val="Normal"/>
    <w:next w:val="Normal"/>
    <w:link w:val="Ttulo5Char"/>
    <w:uiPriority w:val="9"/>
    <w:semiHidden/>
    <w:unhideWhenUsed/>
    <w:qFormat/>
    <w:rsid w:val="006B0FB7"/>
    <w:pPr>
      <w:keepNext/>
      <w:keepLines/>
      <w:numPr>
        <w:ilvl w:val="4"/>
        <w:numId w:val="19"/>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B0FB7"/>
    <w:pPr>
      <w:keepNext/>
      <w:keepLines/>
      <w:numPr>
        <w:ilvl w:val="5"/>
        <w:numId w:val="19"/>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6B0FB7"/>
    <w:pPr>
      <w:keepNext/>
      <w:keepLines/>
      <w:numPr>
        <w:ilvl w:val="6"/>
        <w:numId w:val="19"/>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6B0FB7"/>
    <w:pPr>
      <w:keepNext/>
      <w:keepLines/>
      <w:numPr>
        <w:ilvl w:val="7"/>
        <w:numId w:val="19"/>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0FB7"/>
    <w:pPr>
      <w:keepNext/>
      <w:keepLines/>
      <w:numPr>
        <w:ilvl w:val="8"/>
        <w:numId w:val="19"/>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3A30DC"/>
    <w:rPr>
      <w:rFonts w:asciiTheme="majorHAnsi" w:eastAsiaTheme="majorEastAsia" w:hAnsiTheme="majorHAnsi" w:cstheme="majorBidi"/>
      <w:b/>
      <w:color w:val="ED7D31"/>
      <w:sz w:val="24"/>
      <w:szCs w:val="20"/>
    </w:rPr>
  </w:style>
  <w:style w:type="character" w:customStyle="1" w:styleId="Ttulo2Char">
    <w:name w:val="Título 2 Char"/>
    <w:basedOn w:val="Fontepargpadro"/>
    <w:link w:val="Ttulo2"/>
    <w:uiPriority w:val="9"/>
    <w:rsid w:val="00BB08FE"/>
    <w:rPr>
      <w:rFonts w:asciiTheme="majorHAnsi" w:eastAsiaTheme="majorEastAsia" w:hAnsiTheme="majorHAnsi" w:cstheme="majorHAnsi"/>
      <w:b/>
      <w:bCs/>
      <w:color w:val="000000" w:themeColor="text1"/>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5222CD"/>
    <w:rPr>
      <w:rFonts w:asciiTheme="majorHAnsi" w:eastAsiaTheme="majorEastAsia" w:hAnsiTheme="majorHAnsi" w:cstheme="majorBidi"/>
      <w:b/>
      <w:color w:val="ED7D31"/>
      <w:szCs w:val="24"/>
    </w:rPr>
  </w:style>
  <w:style w:type="character" w:customStyle="1" w:styleId="Ttulo4Char">
    <w:name w:val="Título 4 Char"/>
    <w:basedOn w:val="Fontepargpadro"/>
    <w:link w:val="Ttulo4"/>
    <w:uiPriority w:val="9"/>
    <w:rsid w:val="005222CD"/>
    <w:rPr>
      <w:rFonts w:asciiTheme="majorHAnsi" w:eastAsiaTheme="majorEastAsia" w:hAnsiTheme="majorHAnsi" w:cstheme="majorBidi"/>
      <w:i/>
      <w:iCs/>
      <w:color w:val="ED7D31"/>
    </w:rPr>
  </w:style>
  <w:style w:type="character" w:customStyle="1" w:styleId="Ttulo5Char">
    <w:name w:val="Título 5 Char"/>
    <w:basedOn w:val="Fontepargpadro"/>
    <w:link w:val="Ttulo5"/>
    <w:uiPriority w:val="9"/>
    <w:semiHidden/>
    <w:rsid w:val="006B0FB7"/>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6B0FB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6B0FB7"/>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6B0F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0FB7"/>
    <w:rPr>
      <w:rFonts w:asciiTheme="majorHAnsi" w:eastAsiaTheme="majorEastAsia" w:hAnsiTheme="majorHAnsi" w:cstheme="majorBidi"/>
      <w:i/>
      <w:iCs/>
      <w:color w:val="272727" w:themeColor="text1" w:themeTint="D8"/>
      <w:sz w:val="21"/>
      <w:szCs w:val="21"/>
    </w:rPr>
  </w:style>
  <w:style w:type="paragraph" w:styleId="Reviso">
    <w:name w:val="Revision"/>
    <w:hidden/>
    <w:uiPriority w:val="99"/>
    <w:semiHidden/>
    <w:rsid w:val="003032FD"/>
    <w:pPr>
      <w:spacing w:after="0" w:line="240" w:lineRule="auto"/>
    </w:pPr>
  </w:style>
  <w:style w:type="character" w:styleId="TextodoEspaoReservado">
    <w:name w:val="Placeholder Text"/>
    <w:basedOn w:val="Fontepargpadro"/>
    <w:uiPriority w:val="99"/>
    <w:semiHidden/>
    <w:rsid w:val="00C13039"/>
    <w:rPr>
      <w:color w:val="808080"/>
    </w:rPr>
  </w:style>
  <w:style w:type="paragraph" w:styleId="Sumrio3">
    <w:name w:val="toc 3"/>
    <w:basedOn w:val="Normal"/>
    <w:next w:val="Normal"/>
    <w:autoRedefine/>
    <w:uiPriority w:val="39"/>
    <w:unhideWhenUsed/>
    <w:rsid w:val="00B137CF"/>
    <w:pPr>
      <w:spacing w:after="100"/>
      <w:ind w:left="400"/>
    </w:pPr>
  </w:style>
  <w:style w:type="character" w:styleId="Refdecomentrio">
    <w:name w:val="annotation reference"/>
    <w:basedOn w:val="Fontepargpadro"/>
    <w:uiPriority w:val="99"/>
    <w:semiHidden/>
    <w:unhideWhenUsed/>
    <w:rsid w:val="00896418"/>
    <w:rPr>
      <w:sz w:val="16"/>
      <w:szCs w:val="16"/>
    </w:rPr>
  </w:style>
  <w:style w:type="paragraph" w:styleId="Textodecomentrio">
    <w:name w:val="annotation text"/>
    <w:basedOn w:val="Normal"/>
    <w:link w:val="TextodecomentrioChar"/>
    <w:uiPriority w:val="99"/>
    <w:semiHidden/>
    <w:unhideWhenUsed/>
    <w:rsid w:val="00896418"/>
    <w:pPr>
      <w:spacing w:line="240" w:lineRule="auto"/>
    </w:pPr>
    <w:rPr>
      <w:szCs w:val="20"/>
    </w:rPr>
  </w:style>
  <w:style w:type="character" w:customStyle="1" w:styleId="TextodecomentrioChar">
    <w:name w:val="Texto de comentário Char"/>
    <w:basedOn w:val="Fontepargpadro"/>
    <w:link w:val="Textodecomentrio"/>
    <w:uiPriority w:val="99"/>
    <w:semiHidden/>
    <w:rsid w:val="00896418"/>
    <w:rPr>
      <w:rFonts w:asciiTheme="majorHAnsi" w:hAnsiTheme="majorHAnsi"/>
      <w:color w:val="7F7F7F" w:themeColor="text1" w:themeTint="80"/>
      <w:sz w:val="20"/>
      <w:szCs w:val="20"/>
    </w:rPr>
  </w:style>
  <w:style w:type="paragraph" w:styleId="Assuntodocomentrio">
    <w:name w:val="annotation subject"/>
    <w:basedOn w:val="Textodecomentrio"/>
    <w:next w:val="Textodecomentrio"/>
    <w:link w:val="AssuntodocomentrioChar"/>
    <w:uiPriority w:val="99"/>
    <w:semiHidden/>
    <w:unhideWhenUsed/>
    <w:rsid w:val="00896418"/>
    <w:rPr>
      <w:b/>
      <w:bCs/>
    </w:rPr>
  </w:style>
  <w:style w:type="character" w:customStyle="1" w:styleId="AssuntodocomentrioChar">
    <w:name w:val="Assunto do comentário Char"/>
    <w:basedOn w:val="TextodecomentrioChar"/>
    <w:link w:val="Assuntodocomentrio"/>
    <w:uiPriority w:val="99"/>
    <w:semiHidden/>
    <w:rsid w:val="00896418"/>
    <w:rPr>
      <w:rFonts w:asciiTheme="majorHAnsi" w:hAnsiTheme="majorHAnsi"/>
      <w:b/>
      <w:bCs/>
      <w:color w:val="7F7F7F" w:themeColor="text1" w:themeTint="80"/>
      <w:sz w:val="20"/>
      <w:szCs w:val="20"/>
    </w:rPr>
  </w:style>
  <w:style w:type="table" w:styleId="Tabelacomgrade">
    <w:name w:val="Table Grid"/>
    <w:basedOn w:val="Tabelanormal"/>
    <w:uiPriority w:val="39"/>
    <w:rsid w:val="0020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5Escura-nfase11">
    <w:name w:val="Tabela de Grade 5 Escura - Ênfase 11"/>
    <w:basedOn w:val="Tabelanormal"/>
    <w:uiPriority w:val="50"/>
    <w:rsid w:val="002019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Lista1Clara-nfase31">
    <w:name w:val="Tabela de Lista 1 Clara - Ênfase 31"/>
    <w:basedOn w:val="Tabelanormal"/>
    <w:uiPriority w:val="46"/>
    <w:rsid w:val="00940C4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rte">
    <w:name w:val="Strong"/>
    <w:basedOn w:val="Fontepargpadro"/>
    <w:uiPriority w:val="22"/>
    <w:qFormat/>
    <w:rsid w:val="003D7DC2"/>
    <w:rPr>
      <w:b/>
      <w:bCs/>
    </w:rPr>
  </w:style>
  <w:style w:type="character" w:customStyle="1" w:styleId="UnresolvedMention">
    <w:name w:val="Unresolved Mention"/>
    <w:basedOn w:val="Fontepargpadro"/>
    <w:uiPriority w:val="99"/>
    <w:semiHidden/>
    <w:unhideWhenUsed/>
    <w:rsid w:val="00C0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4">
      <w:bodyDiv w:val="1"/>
      <w:marLeft w:val="0"/>
      <w:marRight w:val="0"/>
      <w:marTop w:val="0"/>
      <w:marBottom w:val="0"/>
      <w:divBdr>
        <w:top w:val="none" w:sz="0" w:space="0" w:color="auto"/>
        <w:left w:val="none" w:sz="0" w:space="0" w:color="auto"/>
        <w:bottom w:val="none" w:sz="0" w:space="0" w:color="auto"/>
        <w:right w:val="none" w:sz="0" w:space="0" w:color="auto"/>
      </w:divBdr>
    </w:div>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0854525">
      <w:bodyDiv w:val="1"/>
      <w:marLeft w:val="0"/>
      <w:marRight w:val="0"/>
      <w:marTop w:val="0"/>
      <w:marBottom w:val="0"/>
      <w:divBdr>
        <w:top w:val="none" w:sz="0" w:space="0" w:color="auto"/>
        <w:left w:val="none" w:sz="0" w:space="0" w:color="auto"/>
        <w:bottom w:val="none" w:sz="0" w:space="0" w:color="auto"/>
        <w:right w:val="none" w:sz="0" w:space="0" w:color="auto"/>
      </w:divBdr>
    </w:div>
    <w:div w:id="172379847">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09600222">
      <w:bodyDiv w:val="1"/>
      <w:marLeft w:val="0"/>
      <w:marRight w:val="0"/>
      <w:marTop w:val="0"/>
      <w:marBottom w:val="0"/>
      <w:divBdr>
        <w:top w:val="none" w:sz="0" w:space="0" w:color="auto"/>
        <w:left w:val="none" w:sz="0" w:space="0" w:color="auto"/>
        <w:bottom w:val="none" w:sz="0" w:space="0" w:color="auto"/>
        <w:right w:val="none" w:sz="0" w:space="0" w:color="auto"/>
      </w:divBdr>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89692256">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459691228">
      <w:bodyDiv w:val="1"/>
      <w:marLeft w:val="0"/>
      <w:marRight w:val="0"/>
      <w:marTop w:val="0"/>
      <w:marBottom w:val="0"/>
      <w:divBdr>
        <w:top w:val="none" w:sz="0" w:space="0" w:color="auto"/>
        <w:left w:val="none" w:sz="0" w:space="0" w:color="auto"/>
        <w:bottom w:val="none" w:sz="0" w:space="0" w:color="auto"/>
        <w:right w:val="none" w:sz="0" w:space="0" w:color="auto"/>
      </w:divBdr>
    </w:div>
    <w:div w:id="493450560">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55064328">
      <w:bodyDiv w:val="1"/>
      <w:marLeft w:val="0"/>
      <w:marRight w:val="0"/>
      <w:marTop w:val="0"/>
      <w:marBottom w:val="0"/>
      <w:divBdr>
        <w:top w:val="none" w:sz="0" w:space="0" w:color="auto"/>
        <w:left w:val="none" w:sz="0" w:space="0" w:color="auto"/>
        <w:bottom w:val="none" w:sz="0" w:space="0" w:color="auto"/>
        <w:right w:val="none" w:sz="0" w:space="0" w:color="auto"/>
      </w:divBdr>
    </w:div>
    <w:div w:id="657929482">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736173248">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071082467">
      <w:bodyDiv w:val="1"/>
      <w:marLeft w:val="0"/>
      <w:marRight w:val="0"/>
      <w:marTop w:val="0"/>
      <w:marBottom w:val="0"/>
      <w:divBdr>
        <w:top w:val="none" w:sz="0" w:space="0" w:color="auto"/>
        <w:left w:val="none" w:sz="0" w:space="0" w:color="auto"/>
        <w:bottom w:val="none" w:sz="0" w:space="0" w:color="auto"/>
        <w:right w:val="none" w:sz="0" w:space="0" w:color="auto"/>
      </w:divBdr>
    </w:div>
    <w:div w:id="1096364718">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27117403">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220895671">
      <w:bodyDiv w:val="1"/>
      <w:marLeft w:val="0"/>
      <w:marRight w:val="0"/>
      <w:marTop w:val="0"/>
      <w:marBottom w:val="0"/>
      <w:divBdr>
        <w:top w:val="none" w:sz="0" w:space="0" w:color="auto"/>
        <w:left w:val="none" w:sz="0" w:space="0" w:color="auto"/>
        <w:bottom w:val="none" w:sz="0" w:space="0" w:color="auto"/>
        <w:right w:val="none" w:sz="0" w:space="0" w:color="auto"/>
      </w:divBdr>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30995032">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276252353">
      <w:bodyDiv w:val="1"/>
      <w:marLeft w:val="0"/>
      <w:marRight w:val="0"/>
      <w:marTop w:val="0"/>
      <w:marBottom w:val="0"/>
      <w:divBdr>
        <w:top w:val="none" w:sz="0" w:space="0" w:color="auto"/>
        <w:left w:val="none" w:sz="0" w:space="0" w:color="auto"/>
        <w:bottom w:val="none" w:sz="0" w:space="0" w:color="auto"/>
        <w:right w:val="none" w:sz="0" w:space="0" w:color="auto"/>
      </w:divBdr>
    </w:div>
    <w:div w:id="1293438290">
      <w:bodyDiv w:val="1"/>
      <w:marLeft w:val="0"/>
      <w:marRight w:val="0"/>
      <w:marTop w:val="0"/>
      <w:marBottom w:val="0"/>
      <w:divBdr>
        <w:top w:val="none" w:sz="0" w:space="0" w:color="auto"/>
        <w:left w:val="none" w:sz="0" w:space="0" w:color="auto"/>
        <w:bottom w:val="none" w:sz="0" w:space="0" w:color="auto"/>
        <w:right w:val="none" w:sz="0" w:space="0" w:color="auto"/>
      </w:divBdr>
    </w:div>
    <w:div w:id="1314336515">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383481872">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4441290">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7184640">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163973">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618487710">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1759213103">
      <w:bodyDiv w:val="1"/>
      <w:marLeft w:val="0"/>
      <w:marRight w:val="0"/>
      <w:marTop w:val="0"/>
      <w:marBottom w:val="0"/>
      <w:divBdr>
        <w:top w:val="none" w:sz="0" w:space="0" w:color="auto"/>
        <w:left w:val="none" w:sz="0" w:space="0" w:color="auto"/>
        <w:bottom w:val="none" w:sz="0" w:space="0" w:color="auto"/>
        <w:right w:val="none" w:sz="0" w:space="0" w:color="auto"/>
      </w:divBdr>
    </w:div>
    <w:div w:id="1811285136">
      <w:bodyDiv w:val="1"/>
      <w:marLeft w:val="0"/>
      <w:marRight w:val="0"/>
      <w:marTop w:val="0"/>
      <w:marBottom w:val="0"/>
      <w:divBdr>
        <w:top w:val="none" w:sz="0" w:space="0" w:color="auto"/>
        <w:left w:val="none" w:sz="0" w:space="0" w:color="auto"/>
        <w:bottom w:val="none" w:sz="0" w:space="0" w:color="auto"/>
        <w:right w:val="none" w:sz="0" w:space="0" w:color="auto"/>
      </w:divBdr>
    </w:div>
    <w:div w:id="1812138392">
      <w:bodyDiv w:val="1"/>
      <w:marLeft w:val="0"/>
      <w:marRight w:val="0"/>
      <w:marTop w:val="0"/>
      <w:marBottom w:val="0"/>
      <w:divBdr>
        <w:top w:val="none" w:sz="0" w:space="0" w:color="auto"/>
        <w:left w:val="none" w:sz="0" w:space="0" w:color="auto"/>
        <w:bottom w:val="none" w:sz="0" w:space="0" w:color="auto"/>
        <w:right w:val="none" w:sz="0" w:space="0" w:color="auto"/>
      </w:divBdr>
    </w:div>
    <w:div w:id="1826622353">
      <w:bodyDiv w:val="1"/>
      <w:marLeft w:val="0"/>
      <w:marRight w:val="0"/>
      <w:marTop w:val="0"/>
      <w:marBottom w:val="0"/>
      <w:divBdr>
        <w:top w:val="none" w:sz="0" w:space="0" w:color="auto"/>
        <w:left w:val="none" w:sz="0" w:space="0" w:color="auto"/>
        <w:bottom w:val="none" w:sz="0" w:space="0" w:color="auto"/>
        <w:right w:val="none" w:sz="0" w:space="0" w:color="auto"/>
      </w:divBdr>
    </w:div>
    <w:div w:id="1932622131">
      <w:bodyDiv w:val="1"/>
      <w:marLeft w:val="0"/>
      <w:marRight w:val="0"/>
      <w:marTop w:val="0"/>
      <w:marBottom w:val="0"/>
      <w:divBdr>
        <w:top w:val="none" w:sz="0" w:space="0" w:color="auto"/>
        <w:left w:val="none" w:sz="0" w:space="0" w:color="auto"/>
        <w:bottom w:val="none" w:sz="0" w:space="0" w:color="auto"/>
        <w:right w:val="none" w:sz="0" w:space="0" w:color="auto"/>
      </w:divBdr>
      <w:divsChild>
        <w:div w:id="1663006308">
          <w:marLeft w:val="750"/>
          <w:marRight w:val="450"/>
          <w:marTop w:val="525"/>
          <w:marBottom w:val="225"/>
          <w:divBdr>
            <w:top w:val="none" w:sz="0" w:space="0" w:color="auto"/>
            <w:left w:val="none" w:sz="0" w:space="0" w:color="auto"/>
            <w:bottom w:val="none" w:sz="0" w:space="0" w:color="auto"/>
            <w:right w:val="none" w:sz="0" w:space="0" w:color="auto"/>
          </w:divBdr>
        </w:div>
      </w:divsChild>
    </w:div>
    <w:div w:id="2003002711">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 w:id="21002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7C92-A3AE-4795-ABEB-A82EC9BD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14016</Words>
  <Characters>75688</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89525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Reis</dc:creator>
  <cp:lastModifiedBy>User</cp:lastModifiedBy>
  <cp:revision>6</cp:revision>
  <cp:lastPrinted>2021-12-27T18:59:00Z</cp:lastPrinted>
  <dcterms:created xsi:type="dcterms:W3CDTF">2021-12-23T19:36:00Z</dcterms:created>
  <dcterms:modified xsi:type="dcterms:W3CDTF">2021-12-28T17:47:00Z</dcterms:modified>
</cp:coreProperties>
</file>